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D818C" w14:textId="77777777" w:rsidR="00C82DB5" w:rsidRPr="00C82DB5" w:rsidRDefault="00C82DB5" w:rsidP="00C82DB5">
      <w:pPr>
        <w:spacing w:after="0" w:line="240" w:lineRule="auto"/>
        <w:outlineLvl w:val="0"/>
        <w:rPr>
          <w:rFonts w:ascii="Tahoma" w:eastAsia="Calibri" w:hAnsi="Tahoma" w:cs="Tahoma"/>
          <w:sz w:val="20"/>
          <w:szCs w:val="20"/>
          <w:lang w:val="en-US" w:eastAsia="en-GB"/>
        </w:rPr>
      </w:pPr>
      <w:r w:rsidRPr="00C82DB5">
        <w:rPr>
          <w:rFonts w:ascii="Tahoma" w:eastAsia="Calibri" w:hAnsi="Tahoma" w:cs="Tahoma"/>
          <w:b/>
          <w:bCs/>
          <w:sz w:val="20"/>
          <w:szCs w:val="20"/>
          <w:lang w:val="en-US" w:eastAsia="en-GB"/>
        </w:rPr>
        <w:t>From:</w:t>
      </w:r>
      <w:r w:rsidRPr="00C82DB5">
        <w:rPr>
          <w:rFonts w:ascii="Tahoma" w:eastAsia="Calibri" w:hAnsi="Tahoma" w:cs="Tahoma"/>
          <w:sz w:val="20"/>
          <w:szCs w:val="20"/>
          <w:lang w:val="en-US" w:eastAsia="en-GB"/>
        </w:rPr>
        <w:t xml:space="preserve"> </w:t>
      </w:r>
      <w:hyperlink r:id="rId5" w:history="1">
        <w:r w:rsidRPr="00C82DB5">
          <w:rPr>
            <w:rFonts w:ascii="Tahoma" w:eastAsia="Calibri" w:hAnsi="Tahoma" w:cs="Tahoma"/>
            <w:color w:val="0000FF"/>
            <w:sz w:val="20"/>
            <w:szCs w:val="20"/>
            <w:u w:val="single"/>
            <w:lang w:val="en-US" w:eastAsia="en-GB"/>
          </w:rPr>
          <w:t>kateheath@rushdenandwallingtonpc.co.uk</w:t>
        </w:r>
      </w:hyperlink>
      <w:r w:rsidRPr="00C82DB5">
        <w:rPr>
          <w:rFonts w:ascii="Tahoma" w:eastAsia="Calibri" w:hAnsi="Tahoma" w:cs="Tahoma"/>
          <w:sz w:val="20"/>
          <w:szCs w:val="20"/>
          <w:lang w:val="en-US" w:eastAsia="en-GB"/>
        </w:rPr>
        <w:t xml:space="preserve"> [</w:t>
      </w:r>
      <w:hyperlink r:id="rId6" w:history="1">
        <w:r w:rsidRPr="00C82DB5">
          <w:rPr>
            <w:rFonts w:ascii="Tahoma" w:eastAsia="Calibri" w:hAnsi="Tahoma" w:cs="Tahoma"/>
            <w:color w:val="0000FF"/>
            <w:sz w:val="20"/>
            <w:szCs w:val="20"/>
            <w:u w:val="single"/>
            <w:lang w:val="en-US" w:eastAsia="en-GB"/>
          </w:rPr>
          <w:t>mailto:kateheath@rushdenandwallingtonpc.co.uk</w:t>
        </w:r>
      </w:hyperlink>
      <w:r w:rsidRPr="00C82DB5">
        <w:rPr>
          <w:rFonts w:ascii="Tahoma" w:eastAsia="Calibri" w:hAnsi="Tahoma" w:cs="Tahoma"/>
          <w:sz w:val="20"/>
          <w:szCs w:val="20"/>
          <w:lang w:val="en-US" w:eastAsia="en-GB"/>
        </w:rPr>
        <w:t xml:space="preserve">] </w:t>
      </w:r>
      <w:r w:rsidRPr="00C82DB5">
        <w:rPr>
          <w:rFonts w:ascii="Tahoma" w:eastAsia="Calibri" w:hAnsi="Tahoma" w:cs="Tahoma"/>
          <w:sz w:val="20"/>
          <w:szCs w:val="20"/>
          <w:lang w:val="en-US" w:eastAsia="en-GB"/>
        </w:rPr>
        <w:br/>
      </w:r>
      <w:r w:rsidRPr="00C82DB5">
        <w:rPr>
          <w:rFonts w:ascii="Tahoma" w:eastAsia="Calibri" w:hAnsi="Tahoma" w:cs="Tahoma"/>
          <w:b/>
          <w:bCs/>
          <w:sz w:val="20"/>
          <w:szCs w:val="20"/>
          <w:lang w:val="en-US" w:eastAsia="en-GB"/>
        </w:rPr>
        <w:t>Sent:</w:t>
      </w:r>
      <w:r w:rsidRPr="00C82DB5">
        <w:rPr>
          <w:rFonts w:ascii="Tahoma" w:eastAsia="Calibri" w:hAnsi="Tahoma" w:cs="Tahoma"/>
          <w:sz w:val="20"/>
          <w:szCs w:val="20"/>
          <w:lang w:val="en-US" w:eastAsia="en-GB"/>
        </w:rPr>
        <w:t xml:space="preserve"> 20 January 2020 09:59</w:t>
      </w:r>
      <w:r w:rsidRPr="00C82DB5">
        <w:rPr>
          <w:rFonts w:ascii="Tahoma" w:eastAsia="Calibri" w:hAnsi="Tahoma" w:cs="Tahoma"/>
          <w:sz w:val="20"/>
          <w:szCs w:val="20"/>
          <w:lang w:val="en-US" w:eastAsia="en-GB"/>
        </w:rPr>
        <w:br/>
      </w:r>
      <w:r w:rsidRPr="00C82DB5">
        <w:rPr>
          <w:rFonts w:ascii="Tahoma" w:eastAsia="Calibri" w:hAnsi="Tahoma" w:cs="Tahoma"/>
          <w:b/>
          <w:bCs/>
          <w:sz w:val="20"/>
          <w:szCs w:val="20"/>
          <w:lang w:val="en-US" w:eastAsia="en-GB"/>
        </w:rPr>
        <w:t>To:</w:t>
      </w:r>
      <w:r w:rsidRPr="00C82DB5">
        <w:rPr>
          <w:rFonts w:ascii="Tahoma" w:eastAsia="Calibri" w:hAnsi="Tahoma" w:cs="Tahoma"/>
          <w:sz w:val="20"/>
          <w:szCs w:val="20"/>
          <w:lang w:val="en-US" w:eastAsia="en-GB"/>
        </w:rPr>
        <w:t xml:space="preserve"> </w:t>
      </w:r>
      <w:proofErr w:type="spellStart"/>
      <w:r w:rsidRPr="00C82DB5">
        <w:rPr>
          <w:rFonts w:ascii="Tahoma" w:eastAsia="Calibri" w:hAnsi="Tahoma" w:cs="Tahoma"/>
          <w:sz w:val="20"/>
          <w:szCs w:val="20"/>
          <w:lang w:val="en-US" w:eastAsia="en-GB"/>
        </w:rPr>
        <w:t>Planning.policy</w:t>
      </w:r>
      <w:proofErr w:type="spellEnd"/>
      <w:r w:rsidRPr="00C82DB5">
        <w:rPr>
          <w:rFonts w:ascii="Tahoma" w:eastAsia="Calibri" w:hAnsi="Tahoma" w:cs="Tahoma"/>
          <w:sz w:val="20"/>
          <w:szCs w:val="20"/>
          <w:lang w:val="en-US" w:eastAsia="en-GB"/>
        </w:rPr>
        <w:br/>
      </w:r>
      <w:r w:rsidRPr="00C82DB5">
        <w:rPr>
          <w:rFonts w:ascii="Tahoma" w:eastAsia="Calibri" w:hAnsi="Tahoma" w:cs="Tahoma"/>
          <w:b/>
          <w:bCs/>
          <w:sz w:val="20"/>
          <w:szCs w:val="20"/>
          <w:lang w:val="en-US" w:eastAsia="en-GB"/>
        </w:rPr>
        <w:t>Cc:</w:t>
      </w:r>
      <w:r w:rsidRPr="00C82DB5">
        <w:rPr>
          <w:rFonts w:ascii="Tahoma" w:eastAsia="Calibri" w:hAnsi="Tahoma" w:cs="Tahoma"/>
          <w:sz w:val="20"/>
          <w:szCs w:val="20"/>
          <w:lang w:val="en-US" w:eastAsia="en-GB"/>
        </w:rPr>
        <w:t xml:space="preserve"> clerk; </w:t>
      </w:r>
      <w:proofErr w:type="spellStart"/>
      <w:r w:rsidRPr="00C82DB5">
        <w:rPr>
          <w:rFonts w:ascii="Tahoma" w:eastAsia="Calibri" w:hAnsi="Tahoma" w:cs="Tahoma"/>
          <w:sz w:val="20"/>
          <w:szCs w:val="20"/>
          <w:highlight w:val="black"/>
          <w:lang w:val="en-US" w:eastAsia="en-GB"/>
        </w:rPr>
        <w:t>grahamlamb</w:t>
      </w:r>
      <w:proofErr w:type="spellEnd"/>
      <w:r w:rsidRPr="00C82DB5">
        <w:rPr>
          <w:rFonts w:ascii="Tahoma" w:eastAsia="Calibri" w:hAnsi="Tahoma" w:cs="Tahoma"/>
          <w:sz w:val="20"/>
          <w:szCs w:val="20"/>
          <w:lang w:val="en-US" w:eastAsia="en-GB"/>
        </w:rPr>
        <w:br/>
      </w:r>
      <w:r w:rsidRPr="00C82DB5">
        <w:rPr>
          <w:rFonts w:ascii="Tahoma" w:eastAsia="Calibri" w:hAnsi="Tahoma" w:cs="Tahoma"/>
          <w:b/>
          <w:bCs/>
          <w:sz w:val="20"/>
          <w:szCs w:val="20"/>
          <w:lang w:val="en-US" w:eastAsia="en-GB"/>
        </w:rPr>
        <w:t>Subject:</w:t>
      </w:r>
      <w:r w:rsidRPr="00C82DB5">
        <w:rPr>
          <w:rFonts w:ascii="Tahoma" w:eastAsia="Calibri" w:hAnsi="Tahoma" w:cs="Tahoma"/>
          <w:sz w:val="20"/>
          <w:szCs w:val="20"/>
          <w:lang w:val="en-US" w:eastAsia="en-GB"/>
        </w:rPr>
        <w:t xml:space="preserve"> Application for Wallington </w:t>
      </w:r>
      <w:proofErr w:type="spellStart"/>
      <w:r w:rsidRPr="00C82DB5">
        <w:rPr>
          <w:rFonts w:ascii="Tahoma" w:eastAsia="Calibri" w:hAnsi="Tahoma" w:cs="Tahoma"/>
          <w:sz w:val="20"/>
          <w:szCs w:val="20"/>
          <w:lang w:val="en-US" w:eastAsia="en-GB"/>
        </w:rPr>
        <w:t>Neighbourhood</w:t>
      </w:r>
      <w:proofErr w:type="spellEnd"/>
      <w:r w:rsidRPr="00C82DB5">
        <w:rPr>
          <w:rFonts w:ascii="Tahoma" w:eastAsia="Calibri" w:hAnsi="Tahoma" w:cs="Tahoma"/>
          <w:sz w:val="20"/>
          <w:szCs w:val="20"/>
          <w:lang w:val="en-US" w:eastAsia="en-GB"/>
        </w:rPr>
        <w:t xml:space="preserve"> Plan - for the attention of Planning Policy</w:t>
      </w:r>
    </w:p>
    <w:p w14:paraId="43FFC7A7" w14:textId="77777777" w:rsidR="00C82DB5" w:rsidRPr="00C82DB5" w:rsidRDefault="00C82DB5" w:rsidP="00C82DB5">
      <w:pPr>
        <w:spacing w:after="0" w:line="240" w:lineRule="auto"/>
        <w:rPr>
          <w:rFonts w:ascii="Times New Roman" w:eastAsia="Calibri" w:hAnsi="Times New Roman" w:cs="Times New Roman"/>
          <w:sz w:val="24"/>
          <w:szCs w:val="24"/>
          <w:lang w:eastAsia="en-GB"/>
        </w:rPr>
      </w:pPr>
    </w:p>
    <w:p w14:paraId="469B2BCE" w14:textId="77777777" w:rsidR="00C82DB5" w:rsidRPr="00C82DB5" w:rsidRDefault="00C82DB5" w:rsidP="00C82DB5">
      <w:pPr>
        <w:spacing w:before="100" w:beforeAutospacing="1" w:after="100" w:afterAutospacing="1" w:line="240" w:lineRule="auto"/>
        <w:rPr>
          <w:rFonts w:ascii="Arial" w:eastAsia="Calibri" w:hAnsi="Arial" w:cs="Arial"/>
          <w:sz w:val="21"/>
          <w:szCs w:val="21"/>
          <w:lang w:eastAsia="en-GB"/>
        </w:rPr>
      </w:pPr>
      <w:r w:rsidRPr="00C82DB5">
        <w:rPr>
          <w:rFonts w:ascii="Arial" w:eastAsia="Calibri" w:hAnsi="Arial" w:cs="Arial"/>
          <w:sz w:val="21"/>
          <w:szCs w:val="21"/>
          <w:lang w:eastAsia="en-GB"/>
        </w:rPr>
        <w:t>Dear Sir or Madam,</w:t>
      </w:r>
      <w:bookmarkStart w:id="0" w:name="_GoBack"/>
      <w:bookmarkEnd w:id="0"/>
      <w:r w:rsidRPr="00C82DB5">
        <w:rPr>
          <w:rFonts w:ascii="Arial" w:eastAsia="Calibri" w:hAnsi="Arial" w:cs="Arial"/>
          <w:sz w:val="21"/>
          <w:szCs w:val="21"/>
          <w:lang w:eastAsia="en-GB"/>
        </w:rPr>
        <w:br/>
      </w:r>
      <w:r w:rsidRPr="00C82DB5">
        <w:rPr>
          <w:rFonts w:ascii="Arial" w:eastAsia="Calibri" w:hAnsi="Arial" w:cs="Arial"/>
          <w:sz w:val="21"/>
          <w:szCs w:val="21"/>
          <w:lang w:eastAsia="en-GB"/>
        </w:rPr>
        <w:br/>
      </w:r>
      <w:r w:rsidRPr="00C82DB5">
        <w:rPr>
          <w:rFonts w:ascii="Arial" w:eastAsia="Calibri" w:hAnsi="Arial" w:cs="Arial"/>
          <w:b/>
          <w:bCs/>
          <w:sz w:val="21"/>
          <w:szCs w:val="21"/>
          <w:lang w:eastAsia="en-GB"/>
        </w:rPr>
        <w:t>Neighbourhood Plan for Wallington Ward of Rushden and Wallington Parish Council</w:t>
      </w:r>
      <w:r w:rsidRPr="00C82DB5">
        <w:rPr>
          <w:rFonts w:ascii="Arial" w:eastAsia="Calibri" w:hAnsi="Arial" w:cs="Arial"/>
          <w:sz w:val="21"/>
          <w:szCs w:val="21"/>
          <w:lang w:eastAsia="en-GB"/>
        </w:rPr>
        <w:br/>
      </w:r>
      <w:r w:rsidRPr="00C82DB5">
        <w:rPr>
          <w:rFonts w:ascii="Arial" w:eastAsia="Calibri" w:hAnsi="Arial" w:cs="Arial"/>
          <w:sz w:val="21"/>
          <w:szCs w:val="21"/>
          <w:lang w:eastAsia="en-GB"/>
        </w:rPr>
        <w:br/>
        <w:t>I am writing on behalf of Rushden and Wallington Parish Council to give notice that we wish to make an application under Part 2 (5) (1) of The Neighbourhood Planning (General) Regulations 2012 for the designation of a Neighbourhood Area for the Wallington Neighbourhood Plan.</w:t>
      </w:r>
      <w:r w:rsidRPr="00C82DB5">
        <w:rPr>
          <w:rFonts w:ascii="Arial" w:eastAsia="Calibri" w:hAnsi="Arial" w:cs="Arial"/>
          <w:sz w:val="21"/>
          <w:szCs w:val="21"/>
          <w:lang w:eastAsia="en-GB"/>
        </w:rPr>
        <w:br/>
      </w:r>
      <w:r w:rsidRPr="00C82DB5">
        <w:rPr>
          <w:rFonts w:ascii="Arial" w:eastAsia="Calibri" w:hAnsi="Arial" w:cs="Arial"/>
          <w:sz w:val="21"/>
          <w:szCs w:val="21"/>
          <w:lang w:eastAsia="en-GB"/>
        </w:rPr>
        <w:br/>
        <w:t>This application is accompanied by a map identifying the area to which the application relates, being the majority of the Wallington Ward.  Wallington Ward is outlined in red.  Please note that the Neighbourhood Plan Designated Area is shaded in both light and dark pink.  We expect that much of our focus will be on the dark pink area.</w:t>
      </w:r>
      <w:r w:rsidRPr="00C82DB5">
        <w:rPr>
          <w:rFonts w:ascii="Arial" w:eastAsia="Calibri" w:hAnsi="Arial" w:cs="Arial"/>
          <w:sz w:val="21"/>
          <w:szCs w:val="21"/>
          <w:lang w:eastAsia="en-GB"/>
        </w:rPr>
        <w:br/>
      </w:r>
      <w:r w:rsidRPr="00C82DB5">
        <w:rPr>
          <w:rFonts w:ascii="Arial" w:eastAsia="Calibri" w:hAnsi="Arial" w:cs="Arial"/>
          <w:sz w:val="21"/>
          <w:szCs w:val="21"/>
          <w:lang w:eastAsia="en-GB"/>
        </w:rPr>
        <w:br/>
        <w:t>This area is considered appropriate to be designated as a Neighbourhood Area for the following reasons: </w:t>
      </w:r>
    </w:p>
    <w:p w14:paraId="49EC6B61" w14:textId="77777777" w:rsidR="00C82DB5" w:rsidRPr="00C82DB5" w:rsidRDefault="00C82DB5" w:rsidP="00C82DB5">
      <w:pPr>
        <w:numPr>
          <w:ilvl w:val="0"/>
          <w:numId w:val="1"/>
        </w:numPr>
        <w:spacing w:before="100" w:beforeAutospacing="1" w:after="100" w:afterAutospacing="1" w:line="240" w:lineRule="auto"/>
        <w:rPr>
          <w:rFonts w:ascii="Arial" w:eastAsia="Times New Roman" w:hAnsi="Arial" w:cs="Arial"/>
          <w:sz w:val="21"/>
          <w:szCs w:val="21"/>
          <w:lang w:eastAsia="en-GB"/>
        </w:rPr>
      </w:pPr>
      <w:r w:rsidRPr="00C82DB5">
        <w:rPr>
          <w:rFonts w:ascii="Arial" w:eastAsia="Times New Roman" w:hAnsi="Arial" w:cs="Arial"/>
          <w:sz w:val="21"/>
          <w:szCs w:val="21"/>
          <w:lang w:eastAsia="en-GB"/>
        </w:rPr>
        <w:t>To identify appropriate areas for future development.</w:t>
      </w:r>
    </w:p>
    <w:p w14:paraId="0DE05783" w14:textId="77777777" w:rsidR="00C82DB5" w:rsidRPr="00C82DB5" w:rsidRDefault="00C82DB5" w:rsidP="00C82DB5">
      <w:pPr>
        <w:numPr>
          <w:ilvl w:val="0"/>
          <w:numId w:val="1"/>
        </w:numPr>
        <w:spacing w:before="100" w:beforeAutospacing="1" w:after="100" w:afterAutospacing="1" w:line="240" w:lineRule="auto"/>
        <w:rPr>
          <w:rFonts w:ascii="Arial" w:eastAsia="Times New Roman" w:hAnsi="Arial" w:cs="Arial"/>
          <w:sz w:val="21"/>
          <w:szCs w:val="21"/>
          <w:lang w:eastAsia="en-GB"/>
        </w:rPr>
      </w:pPr>
      <w:r w:rsidRPr="00C82DB5">
        <w:rPr>
          <w:rFonts w:ascii="Arial" w:eastAsia="Times New Roman" w:hAnsi="Arial" w:cs="Arial"/>
          <w:sz w:val="21"/>
          <w:szCs w:val="21"/>
          <w:lang w:eastAsia="en-GB"/>
        </w:rPr>
        <w:t>To protect the village from unsuitable development in the future.</w:t>
      </w:r>
    </w:p>
    <w:p w14:paraId="7289E5F3" w14:textId="77777777" w:rsidR="00C82DB5" w:rsidRPr="00C82DB5" w:rsidRDefault="00C82DB5" w:rsidP="00C82DB5">
      <w:pPr>
        <w:numPr>
          <w:ilvl w:val="0"/>
          <w:numId w:val="1"/>
        </w:numPr>
        <w:spacing w:before="100" w:beforeAutospacing="1" w:after="100" w:afterAutospacing="1" w:line="240" w:lineRule="auto"/>
        <w:rPr>
          <w:rFonts w:ascii="Arial" w:eastAsia="Times New Roman" w:hAnsi="Arial" w:cs="Arial"/>
          <w:sz w:val="21"/>
          <w:szCs w:val="21"/>
          <w:lang w:eastAsia="en-GB"/>
        </w:rPr>
      </w:pPr>
      <w:r w:rsidRPr="00C82DB5">
        <w:rPr>
          <w:rFonts w:ascii="Arial" w:eastAsia="Times New Roman" w:hAnsi="Arial" w:cs="Arial"/>
          <w:sz w:val="21"/>
          <w:szCs w:val="21"/>
          <w:lang w:eastAsia="en-GB"/>
        </w:rPr>
        <w:t>To set out design guidelines for the village of Wallington, in the light of its designation as Category B – “Suitable for infill development” in NHDC’s draft Local Plan.</w:t>
      </w:r>
    </w:p>
    <w:p w14:paraId="2F477F4F" w14:textId="77777777" w:rsidR="00C82DB5" w:rsidRPr="00C82DB5" w:rsidRDefault="00C82DB5" w:rsidP="00C82DB5">
      <w:pPr>
        <w:spacing w:before="100" w:beforeAutospacing="1" w:after="100" w:afterAutospacing="1" w:line="240" w:lineRule="auto"/>
        <w:rPr>
          <w:rFonts w:ascii="Arial" w:eastAsia="Calibri" w:hAnsi="Arial" w:cs="Arial"/>
          <w:sz w:val="21"/>
          <w:szCs w:val="21"/>
          <w:lang w:eastAsia="en-GB"/>
        </w:rPr>
      </w:pPr>
      <w:r w:rsidRPr="00C82DB5">
        <w:rPr>
          <w:rFonts w:ascii="Arial" w:eastAsia="Calibri" w:hAnsi="Arial" w:cs="Arial"/>
          <w:sz w:val="21"/>
          <w:szCs w:val="21"/>
          <w:lang w:eastAsia="en-GB"/>
        </w:rPr>
        <w:t>The designated area includes Wallington Common and various outlying farms and dwellings in addition to the built core of the village.  It does not include the settlements of Redhill and Shaw Green, each of which is split between at least two Wards and/or Parish Council areas.  We have excluded these settlements in order to protect their ability to have a coherent neighbourhood plan of their own should the need arise in future.</w:t>
      </w:r>
      <w:r w:rsidRPr="00C82DB5">
        <w:rPr>
          <w:rFonts w:ascii="Arial" w:eastAsia="Calibri" w:hAnsi="Arial" w:cs="Arial"/>
          <w:sz w:val="21"/>
          <w:szCs w:val="21"/>
          <w:lang w:eastAsia="en-GB"/>
        </w:rPr>
        <w:br/>
      </w:r>
      <w:r w:rsidRPr="00C82DB5">
        <w:rPr>
          <w:rFonts w:ascii="Arial" w:eastAsia="Calibri" w:hAnsi="Arial" w:cs="Arial"/>
          <w:sz w:val="21"/>
          <w:szCs w:val="21"/>
          <w:lang w:eastAsia="en-GB"/>
        </w:rPr>
        <w:br/>
        <w:t>Rushden and Wallington Parish Council is the relevant body for the purposes of section 61G of the 1990 Town and Country Planning Act, being the Parish Council for the entire area applied for.</w:t>
      </w:r>
      <w:r w:rsidRPr="00C82DB5">
        <w:rPr>
          <w:rFonts w:ascii="Arial" w:eastAsia="Calibri" w:hAnsi="Arial" w:cs="Arial"/>
          <w:sz w:val="21"/>
          <w:szCs w:val="21"/>
          <w:lang w:eastAsia="en-GB"/>
        </w:rPr>
        <w:br/>
      </w:r>
      <w:r w:rsidRPr="00C82DB5">
        <w:rPr>
          <w:rFonts w:ascii="Arial" w:eastAsia="Calibri" w:hAnsi="Arial" w:cs="Arial"/>
          <w:sz w:val="21"/>
          <w:szCs w:val="21"/>
          <w:lang w:eastAsia="en-GB"/>
        </w:rPr>
        <w:br/>
        <w:t>Yours faithfully,</w:t>
      </w:r>
      <w:r w:rsidRPr="00C82DB5">
        <w:rPr>
          <w:rFonts w:ascii="Arial" w:eastAsia="Calibri" w:hAnsi="Arial" w:cs="Arial"/>
          <w:sz w:val="21"/>
          <w:szCs w:val="21"/>
          <w:lang w:eastAsia="en-GB"/>
        </w:rPr>
        <w:br/>
        <w:t> </w:t>
      </w:r>
      <w:r w:rsidRPr="00C82DB5">
        <w:rPr>
          <w:rFonts w:ascii="Arial" w:eastAsia="Calibri" w:hAnsi="Arial" w:cs="Arial"/>
          <w:sz w:val="21"/>
          <w:szCs w:val="21"/>
          <w:lang w:eastAsia="en-GB"/>
        </w:rPr>
        <w:br/>
        <w:t>Kate Heath</w:t>
      </w:r>
      <w:r w:rsidRPr="00C82DB5">
        <w:rPr>
          <w:rFonts w:ascii="Arial" w:eastAsia="Calibri" w:hAnsi="Arial" w:cs="Arial"/>
          <w:sz w:val="21"/>
          <w:szCs w:val="21"/>
          <w:lang w:eastAsia="en-GB"/>
        </w:rPr>
        <w:br/>
      </w:r>
      <w:r w:rsidRPr="00C82DB5">
        <w:rPr>
          <w:rFonts w:ascii="Arial" w:eastAsia="Calibri" w:hAnsi="Arial" w:cs="Arial"/>
          <w:sz w:val="21"/>
          <w:szCs w:val="21"/>
          <w:lang w:eastAsia="en-GB"/>
        </w:rPr>
        <w:br/>
        <w:t>Parish Councillor and Neighbourhood Plan Coordinator</w:t>
      </w:r>
      <w:r w:rsidRPr="00C82DB5">
        <w:rPr>
          <w:rFonts w:ascii="Arial" w:eastAsia="Calibri" w:hAnsi="Arial" w:cs="Arial"/>
          <w:sz w:val="21"/>
          <w:szCs w:val="21"/>
          <w:lang w:eastAsia="en-GB"/>
        </w:rPr>
        <w:br/>
      </w:r>
      <w:r w:rsidRPr="00C82DB5">
        <w:rPr>
          <w:rFonts w:ascii="Arial" w:eastAsia="Calibri" w:hAnsi="Arial" w:cs="Arial"/>
          <w:sz w:val="21"/>
          <w:szCs w:val="21"/>
          <w:highlight w:val="black"/>
          <w:lang w:eastAsia="en-GB"/>
        </w:rPr>
        <w:t>07979 705556</w:t>
      </w:r>
    </w:p>
    <w:p w14:paraId="62F5792D" w14:textId="77777777" w:rsidR="00104A2B" w:rsidRDefault="00104A2B"/>
    <w:sectPr w:rsidR="00104A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E4241"/>
    <w:multiLevelType w:val="multilevel"/>
    <w:tmpl w:val="17B87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DB5"/>
    <w:rsid w:val="00104A2B"/>
    <w:rsid w:val="00590AA4"/>
    <w:rsid w:val="00C82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2AF2E"/>
  <w15:chartTrackingRefBased/>
  <w15:docId w15:val="{2EC67690-FC12-4D6D-A783-97088432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05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eheath@rushdenandwallingtonpc.co.uk" TargetMode="External"/><Relationship Id="rId5" Type="http://schemas.openxmlformats.org/officeDocument/2006/relationships/hyperlink" Target="mailto:kateheath@rushdenandwallingtonp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Hertfordshire District Council</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Skeels</dc:creator>
  <cp:keywords/>
  <dc:description/>
  <cp:lastModifiedBy>Clare Skeels</cp:lastModifiedBy>
  <cp:revision>2</cp:revision>
  <dcterms:created xsi:type="dcterms:W3CDTF">2020-02-10T13:56:00Z</dcterms:created>
  <dcterms:modified xsi:type="dcterms:W3CDTF">2020-02-10T13:56:00Z</dcterms:modified>
</cp:coreProperties>
</file>