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4C" w:rsidRPr="00666E85" w:rsidRDefault="00666E85" w:rsidP="00666E85">
      <w:pPr>
        <w:jc w:val="center"/>
        <w:rPr>
          <w:sz w:val="28"/>
          <w:szCs w:val="28"/>
          <w:u w:val="single"/>
        </w:rPr>
      </w:pPr>
      <w:r>
        <w:rPr>
          <w:sz w:val="28"/>
          <w:szCs w:val="28"/>
          <w:u w:val="single"/>
        </w:rPr>
        <w:t xml:space="preserve">ED96 : </w:t>
      </w:r>
      <w:r w:rsidR="0041274C" w:rsidRPr="00666E85">
        <w:rPr>
          <w:sz w:val="28"/>
          <w:szCs w:val="28"/>
          <w:u w:val="single"/>
        </w:rPr>
        <w:t>Table of Actions – Week 7</w:t>
      </w:r>
      <w:r w:rsidR="009E6B32">
        <w:rPr>
          <w:sz w:val="28"/>
          <w:szCs w:val="28"/>
          <w:u w:val="single"/>
        </w:rPr>
        <w:t xml:space="preserve"> (Amended)</w:t>
      </w:r>
    </w:p>
    <w:p w:rsidR="0041274C" w:rsidRDefault="0041274C" w:rsidP="00666E85">
      <w:pPr>
        <w:jc w:val="center"/>
        <w:rPr>
          <w:sz w:val="28"/>
          <w:szCs w:val="28"/>
          <w:u w:val="single"/>
        </w:rPr>
      </w:pPr>
      <w:r w:rsidRPr="00666E85">
        <w:rPr>
          <w:sz w:val="28"/>
          <w:szCs w:val="28"/>
          <w:u w:val="single"/>
        </w:rPr>
        <w:t>Matters 10 &amp; 11</w:t>
      </w:r>
    </w:p>
    <w:p w:rsidR="007642C1" w:rsidRDefault="007642C1" w:rsidP="007642C1">
      <w:r>
        <w:t xml:space="preserve">Local Plan Examination actions as requested by the Inspector are shown in the tables below.  </w:t>
      </w:r>
    </w:p>
    <w:p w:rsidR="007642C1" w:rsidRDefault="007642C1" w:rsidP="007642C1">
      <w:r>
        <w:t>Where appropriate there are links to the relevant Examination Documents.</w:t>
      </w:r>
    </w:p>
    <w:p w:rsidR="007642C1" w:rsidRDefault="007642C1" w:rsidP="007642C1">
      <w:r>
        <w:t xml:space="preserve">Actions which are shaded pale grey in the tables include proposed main modifications.  These will be added to the website in due course.  </w:t>
      </w:r>
    </w:p>
    <w:p w:rsidR="007642C1" w:rsidRDefault="007642C1" w:rsidP="00666E85">
      <w:pPr>
        <w:jc w:val="center"/>
      </w:pPr>
    </w:p>
    <w:tbl>
      <w:tblPr>
        <w:tblStyle w:val="TableGrid"/>
        <w:tblW w:w="9606" w:type="dxa"/>
        <w:tblLook w:val="04A0" w:firstRow="1" w:lastRow="0" w:firstColumn="1" w:lastColumn="0" w:noHBand="0" w:noVBand="1"/>
      </w:tblPr>
      <w:tblGrid>
        <w:gridCol w:w="5920"/>
        <w:gridCol w:w="1843"/>
        <w:gridCol w:w="1843"/>
      </w:tblGrid>
      <w:tr w:rsidR="0041274C" w:rsidTr="0041274C">
        <w:trPr>
          <w:tblHeader/>
        </w:trPr>
        <w:tc>
          <w:tcPr>
            <w:tcW w:w="9606" w:type="dxa"/>
            <w:gridSpan w:val="3"/>
            <w:shd w:val="clear" w:color="auto" w:fill="B8CCE4" w:themeFill="accent1" w:themeFillTint="66"/>
          </w:tcPr>
          <w:p w:rsidR="0041274C" w:rsidRDefault="0041274C" w:rsidP="003F5C8B">
            <w:r>
              <w:t>Matter 10/11 – STEVENAGE (GREAT ASHBY, GRAVELEY (INCLUDING NORTH OF STEVENAGE) AND KNEBWORTH</w:t>
            </w:r>
          </w:p>
        </w:tc>
      </w:tr>
      <w:tr w:rsidR="0041274C" w:rsidTr="0041274C">
        <w:trPr>
          <w:tblHeader/>
        </w:trPr>
        <w:tc>
          <w:tcPr>
            <w:tcW w:w="5920" w:type="dxa"/>
            <w:shd w:val="clear" w:color="auto" w:fill="000000" w:themeFill="text1"/>
          </w:tcPr>
          <w:p w:rsidR="0041274C" w:rsidRPr="007642C1" w:rsidRDefault="0041274C" w:rsidP="003F5C8B">
            <w:pPr>
              <w:rPr>
                <w:b/>
              </w:rPr>
            </w:pPr>
            <w:r w:rsidRPr="007642C1">
              <w:rPr>
                <w:b/>
              </w:rPr>
              <w:t>Action</w:t>
            </w:r>
          </w:p>
        </w:tc>
        <w:tc>
          <w:tcPr>
            <w:tcW w:w="1843" w:type="dxa"/>
            <w:shd w:val="clear" w:color="auto" w:fill="000000" w:themeFill="text1"/>
          </w:tcPr>
          <w:p w:rsidR="0041274C" w:rsidRPr="007642C1" w:rsidRDefault="0041274C" w:rsidP="003F5C8B">
            <w:pPr>
              <w:rPr>
                <w:b/>
              </w:rPr>
            </w:pPr>
            <w:r w:rsidRPr="007642C1">
              <w:rPr>
                <w:b/>
              </w:rPr>
              <w:t>Date on which Action Completed</w:t>
            </w:r>
          </w:p>
        </w:tc>
        <w:tc>
          <w:tcPr>
            <w:tcW w:w="1843" w:type="dxa"/>
            <w:shd w:val="clear" w:color="auto" w:fill="000000" w:themeFill="text1"/>
          </w:tcPr>
          <w:p w:rsidR="0041274C" w:rsidRPr="007642C1" w:rsidRDefault="0041274C" w:rsidP="003F5C8B">
            <w:pPr>
              <w:rPr>
                <w:b/>
              </w:rPr>
            </w:pPr>
            <w:r w:rsidRPr="007642C1">
              <w:rPr>
                <w:b/>
              </w:rPr>
              <w:t>Examination Doc Reference No.</w:t>
            </w:r>
          </w:p>
        </w:tc>
      </w:tr>
      <w:tr w:rsidR="0041274C" w:rsidTr="007642C1">
        <w:tc>
          <w:tcPr>
            <w:tcW w:w="5920" w:type="dxa"/>
            <w:shd w:val="clear" w:color="auto" w:fill="F2F2F2" w:themeFill="background1" w:themeFillShade="F2"/>
          </w:tcPr>
          <w:p w:rsidR="0041274C" w:rsidRPr="008603EB" w:rsidRDefault="0041274C" w:rsidP="0041274C">
            <w:pPr>
              <w:spacing w:before="120" w:after="120" w:line="276" w:lineRule="auto"/>
              <w:rPr>
                <w:b/>
              </w:rPr>
            </w:pPr>
            <w:r>
              <w:rPr>
                <w:b/>
              </w:rPr>
              <w:t>NHDC to propose amendment to Policy SP16 to include reference to making provision for a 2FE primary school either on site or nearby</w:t>
            </w:r>
          </w:p>
        </w:tc>
        <w:tc>
          <w:tcPr>
            <w:tcW w:w="1843" w:type="dxa"/>
            <w:shd w:val="clear" w:color="auto" w:fill="F2F2F2" w:themeFill="background1" w:themeFillShade="F2"/>
          </w:tcPr>
          <w:p w:rsidR="0041274C" w:rsidRDefault="0041274C" w:rsidP="0041274C">
            <w:pPr>
              <w:spacing w:before="120" w:after="120" w:line="276" w:lineRule="auto"/>
            </w:pPr>
          </w:p>
        </w:tc>
        <w:tc>
          <w:tcPr>
            <w:tcW w:w="1843" w:type="dxa"/>
            <w:shd w:val="clear" w:color="auto" w:fill="F2F2F2" w:themeFill="background1" w:themeFillShade="F2"/>
          </w:tcPr>
          <w:p w:rsidR="0041274C" w:rsidRDefault="0041274C" w:rsidP="0041274C">
            <w:pPr>
              <w:spacing w:before="120" w:after="120" w:line="276" w:lineRule="auto"/>
            </w:pPr>
          </w:p>
        </w:tc>
      </w:tr>
      <w:tr w:rsidR="0041274C" w:rsidTr="007642C1">
        <w:tc>
          <w:tcPr>
            <w:tcW w:w="5920" w:type="dxa"/>
            <w:shd w:val="clear" w:color="auto" w:fill="F2F2F2" w:themeFill="background1" w:themeFillShade="F2"/>
          </w:tcPr>
          <w:p w:rsidR="0041274C" w:rsidRDefault="0041274C" w:rsidP="0041274C">
            <w:pPr>
              <w:spacing w:before="120" w:after="120" w:line="276" w:lineRule="auto"/>
              <w:rPr>
                <w:b/>
              </w:rPr>
            </w:pPr>
            <w:r>
              <w:rPr>
                <w:b/>
              </w:rPr>
              <w:t>NHDC to propose amendments to Policy SP16, SP18 and GA1 to take account of the amendments proposed by Stevenage Borough Council in respect of having regard to the Mobility Strategy and Transport Strategy</w:t>
            </w:r>
          </w:p>
        </w:tc>
        <w:tc>
          <w:tcPr>
            <w:tcW w:w="1843" w:type="dxa"/>
            <w:shd w:val="clear" w:color="auto" w:fill="F2F2F2" w:themeFill="background1" w:themeFillShade="F2"/>
          </w:tcPr>
          <w:p w:rsidR="0041274C" w:rsidRDefault="0041274C" w:rsidP="0041274C">
            <w:pPr>
              <w:spacing w:before="120" w:after="120" w:line="276" w:lineRule="auto"/>
            </w:pPr>
          </w:p>
        </w:tc>
        <w:tc>
          <w:tcPr>
            <w:tcW w:w="1843" w:type="dxa"/>
            <w:shd w:val="clear" w:color="auto" w:fill="F2F2F2" w:themeFill="background1" w:themeFillShade="F2"/>
          </w:tcPr>
          <w:p w:rsidR="0041274C" w:rsidRDefault="0041274C" w:rsidP="0041274C">
            <w:pPr>
              <w:spacing w:before="120" w:after="120" w:line="276" w:lineRule="auto"/>
            </w:pPr>
          </w:p>
        </w:tc>
      </w:tr>
      <w:tr w:rsidR="0041274C" w:rsidTr="007642C1">
        <w:tc>
          <w:tcPr>
            <w:tcW w:w="5920" w:type="dxa"/>
            <w:shd w:val="clear" w:color="auto" w:fill="F2F2F2" w:themeFill="background1" w:themeFillShade="F2"/>
          </w:tcPr>
          <w:p w:rsidR="0041274C" w:rsidRDefault="0041274C" w:rsidP="0041274C">
            <w:pPr>
              <w:spacing w:before="120" w:after="120" w:line="276" w:lineRule="auto"/>
              <w:rPr>
                <w:b/>
              </w:rPr>
            </w:pPr>
            <w:r>
              <w:rPr>
                <w:b/>
              </w:rPr>
              <w:t>NHDC to propose amendments to Policy SP18 and GA1 to refer to measures to discourage/manage traffic along Back Lane. NHDC to include reference to consultation with Stevenage Borough Council as to the proposed measures</w:t>
            </w:r>
          </w:p>
        </w:tc>
        <w:tc>
          <w:tcPr>
            <w:tcW w:w="1843" w:type="dxa"/>
            <w:shd w:val="clear" w:color="auto" w:fill="F2F2F2" w:themeFill="background1" w:themeFillShade="F2"/>
          </w:tcPr>
          <w:p w:rsidR="0041274C" w:rsidRDefault="0041274C" w:rsidP="0041274C">
            <w:pPr>
              <w:spacing w:before="120" w:after="120" w:line="276" w:lineRule="auto"/>
            </w:pPr>
          </w:p>
        </w:tc>
        <w:tc>
          <w:tcPr>
            <w:tcW w:w="1843" w:type="dxa"/>
            <w:shd w:val="clear" w:color="auto" w:fill="F2F2F2" w:themeFill="background1" w:themeFillShade="F2"/>
          </w:tcPr>
          <w:p w:rsidR="0041274C" w:rsidRDefault="0041274C" w:rsidP="0041274C">
            <w:pPr>
              <w:spacing w:before="120" w:after="120" w:line="276" w:lineRule="auto"/>
            </w:pPr>
          </w:p>
        </w:tc>
      </w:tr>
      <w:tr w:rsidR="0041274C" w:rsidTr="007642C1">
        <w:tc>
          <w:tcPr>
            <w:tcW w:w="5920" w:type="dxa"/>
            <w:shd w:val="clear" w:color="auto" w:fill="F2F2F2" w:themeFill="background1" w:themeFillShade="F2"/>
          </w:tcPr>
          <w:p w:rsidR="0041274C" w:rsidRDefault="0041274C" w:rsidP="0041274C">
            <w:pPr>
              <w:spacing w:before="120" w:after="120" w:line="276" w:lineRule="auto"/>
              <w:rPr>
                <w:b/>
              </w:rPr>
            </w:pPr>
            <w:r>
              <w:rPr>
                <w:b/>
              </w:rPr>
              <w:t>NHDC to propose amendments to Policy SP16, SP18 and GA1 to include reference to ‘medical’ and ‘retail’ as well as social infrastructure. NHDC to also include reference in supporting text explaining the GP and retail need identified across 3 sites</w:t>
            </w:r>
          </w:p>
        </w:tc>
        <w:tc>
          <w:tcPr>
            <w:tcW w:w="1843" w:type="dxa"/>
            <w:shd w:val="clear" w:color="auto" w:fill="F2F2F2" w:themeFill="background1" w:themeFillShade="F2"/>
          </w:tcPr>
          <w:p w:rsidR="0041274C" w:rsidRDefault="0041274C" w:rsidP="0041274C">
            <w:pPr>
              <w:spacing w:before="120" w:after="120" w:line="276" w:lineRule="auto"/>
            </w:pPr>
          </w:p>
        </w:tc>
        <w:tc>
          <w:tcPr>
            <w:tcW w:w="1843" w:type="dxa"/>
            <w:shd w:val="clear" w:color="auto" w:fill="F2F2F2" w:themeFill="background1" w:themeFillShade="F2"/>
          </w:tcPr>
          <w:p w:rsidR="0041274C" w:rsidRDefault="0041274C" w:rsidP="0041274C">
            <w:pPr>
              <w:spacing w:before="120" w:after="120" w:line="276" w:lineRule="auto"/>
            </w:pPr>
          </w:p>
        </w:tc>
      </w:tr>
      <w:tr w:rsidR="0041274C" w:rsidTr="007642C1">
        <w:tc>
          <w:tcPr>
            <w:tcW w:w="5920" w:type="dxa"/>
            <w:shd w:val="clear" w:color="auto" w:fill="F2F2F2" w:themeFill="background1" w:themeFillShade="F2"/>
          </w:tcPr>
          <w:p w:rsidR="0041274C" w:rsidRDefault="0041274C" w:rsidP="0041274C">
            <w:pPr>
              <w:spacing w:before="120" w:after="120" w:line="276" w:lineRule="auto"/>
              <w:rPr>
                <w:b/>
              </w:rPr>
            </w:pPr>
            <w:r>
              <w:rPr>
                <w:b/>
              </w:rPr>
              <w:t>NHDC to propose amendment to Policy SP18(k) to include ‘to respect the residential safeguarding zone’ immediately following ‘…the pylon lines’</w:t>
            </w:r>
          </w:p>
        </w:tc>
        <w:tc>
          <w:tcPr>
            <w:tcW w:w="1843" w:type="dxa"/>
            <w:shd w:val="clear" w:color="auto" w:fill="F2F2F2" w:themeFill="background1" w:themeFillShade="F2"/>
          </w:tcPr>
          <w:p w:rsidR="0041274C" w:rsidRDefault="0041274C" w:rsidP="0041274C">
            <w:pPr>
              <w:spacing w:before="120" w:after="120" w:line="276" w:lineRule="auto"/>
            </w:pPr>
          </w:p>
        </w:tc>
        <w:tc>
          <w:tcPr>
            <w:tcW w:w="1843" w:type="dxa"/>
            <w:shd w:val="clear" w:color="auto" w:fill="F2F2F2" w:themeFill="background1" w:themeFillShade="F2"/>
          </w:tcPr>
          <w:p w:rsidR="0041274C" w:rsidRDefault="0041274C" w:rsidP="0041274C">
            <w:pPr>
              <w:spacing w:before="120" w:after="120" w:line="276" w:lineRule="auto"/>
            </w:pPr>
          </w:p>
        </w:tc>
      </w:tr>
    </w:tbl>
    <w:p w:rsidR="0041274C" w:rsidRDefault="0041274C" w:rsidP="0041274C"/>
    <w:p w:rsidR="00666E85" w:rsidRDefault="00666E85">
      <w:pPr>
        <w:spacing w:after="200" w:line="276" w:lineRule="auto"/>
      </w:pPr>
      <w:r>
        <w:br w:type="page"/>
      </w:r>
    </w:p>
    <w:tbl>
      <w:tblPr>
        <w:tblStyle w:val="TableGrid"/>
        <w:tblW w:w="9606" w:type="dxa"/>
        <w:tblLook w:val="04A0" w:firstRow="1" w:lastRow="0" w:firstColumn="1" w:lastColumn="0" w:noHBand="0" w:noVBand="1"/>
      </w:tblPr>
      <w:tblGrid>
        <w:gridCol w:w="5920"/>
        <w:gridCol w:w="1843"/>
        <w:gridCol w:w="1843"/>
      </w:tblGrid>
      <w:tr w:rsidR="0041274C" w:rsidTr="0041274C">
        <w:trPr>
          <w:tblHeader/>
        </w:trPr>
        <w:tc>
          <w:tcPr>
            <w:tcW w:w="9606" w:type="dxa"/>
            <w:gridSpan w:val="3"/>
            <w:shd w:val="clear" w:color="auto" w:fill="B8CCE4" w:themeFill="accent1" w:themeFillTint="66"/>
          </w:tcPr>
          <w:p w:rsidR="0041274C" w:rsidRDefault="0041274C" w:rsidP="0041274C">
            <w:pPr>
              <w:spacing w:before="120" w:after="0" w:line="276" w:lineRule="auto"/>
            </w:pPr>
            <w:r>
              <w:lastRenderedPageBreak/>
              <w:t>Matter 11 – ICKLEFORD, LOWER STONDON, LITTLE WYMONDLEY, CODICOTE</w:t>
            </w:r>
          </w:p>
        </w:tc>
      </w:tr>
      <w:tr w:rsidR="0041274C" w:rsidTr="0041274C">
        <w:trPr>
          <w:tblHeader/>
        </w:trPr>
        <w:tc>
          <w:tcPr>
            <w:tcW w:w="5920" w:type="dxa"/>
            <w:shd w:val="clear" w:color="auto" w:fill="000000" w:themeFill="text1"/>
          </w:tcPr>
          <w:p w:rsidR="0041274C" w:rsidRPr="007642C1" w:rsidRDefault="0041274C" w:rsidP="0041274C">
            <w:pPr>
              <w:spacing w:before="120" w:after="0" w:line="276" w:lineRule="auto"/>
              <w:rPr>
                <w:b/>
              </w:rPr>
            </w:pPr>
            <w:r w:rsidRPr="007642C1">
              <w:rPr>
                <w:b/>
              </w:rPr>
              <w:t>Action</w:t>
            </w:r>
          </w:p>
        </w:tc>
        <w:tc>
          <w:tcPr>
            <w:tcW w:w="1843" w:type="dxa"/>
            <w:shd w:val="clear" w:color="auto" w:fill="000000" w:themeFill="text1"/>
          </w:tcPr>
          <w:p w:rsidR="0041274C" w:rsidRPr="007642C1" w:rsidRDefault="0041274C" w:rsidP="0041274C">
            <w:pPr>
              <w:spacing w:before="120" w:after="0" w:line="276" w:lineRule="auto"/>
              <w:rPr>
                <w:b/>
              </w:rPr>
            </w:pPr>
            <w:r w:rsidRPr="007642C1">
              <w:rPr>
                <w:b/>
              </w:rPr>
              <w:t>Date on which Action Completed</w:t>
            </w:r>
          </w:p>
        </w:tc>
        <w:tc>
          <w:tcPr>
            <w:tcW w:w="1843" w:type="dxa"/>
            <w:shd w:val="clear" w:color="auto" w:fill="000000" w:themeFill="text1"/>
          </w:tcPr>
          <w:p w:rsidR="0041274C" w:rsidRPr="007642C1" w:rsidRDefault="0041274C" w:rsidP="0041274C">
            <w:pPr>
              <w:spacing w:before="120" w:after="0" w:line="276" w:lineRule="auto"/>
              <w:rPr>
                <w:b/>
              </w:rPr>
            </w:pPr>
            <w:r w:rsidRPr="007642C1">
              <w:rPr>
                <w:b/>
              </w:rPr>
              <w:t>Examination Doc Reference No.</w:t>
            </w: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In respect of Policy IC2, NHDC to:</w:t>
            </w:r>
          </w:p>
          <w:p w:rsidR="0041274C" w:rsidRDefault="0041274C" w:rsidP="0041274C">
            <w:pPr>
              <w:pStyle w:val="ListParagraph"/>
              <w:numPr>
                <w:ilvl w:val="0"/>
                <w:numId w:val="1"/>
              </w:numPr>
              <w:spacing w:before="120" w:after="0" w:line="276" w:lineRule="auto"/>
              <w:rPr>
                <w:b/>
              </w:rPr>
            </w:pPr>
            <w:r>
              <w:rPr>
                <w:b/>
              </w:rPr>
              <w:t xml:space="preserve">propose modification </w:t>
            </w:r>
            <w:r w:rsidRPr="00A40732">
              <w:rPr>
                <w:b/>
              </w:rPr>
              <w:t>to require safe access to the site in the form of a crossing point</w:t>
            </w:r>
          </w:p>
          <w:p w:rsidR="0041274C" w:rsidRPr="00116CEB" w:rsidRDefault="0041274C" w:rsidP="0041274C">
            <w:pPr>
              <w:pStyle w:val="ListParagraph"/>
              <w:numPr>
                <w:ilvl w:val="0"/>
                <w:numId w:val="1"/>
              </w:numPr>
              <w:spacing w:before="120" w:after="0" w:line="276" w:lineRule="auto"/>
              <w:rPr>
                <w:b/>
              </w:rPr>
            </w:pPr>
            <w:r>
              <w:rPr>
                <w:b/>
              </w:rPr>
              <w:t xml:space="preserve">correct </w:t>
            </w:r>
            <w:r w:rsidRPr="00A40732">
              <w:rPr>
                <w:b/>
              </w:rPr>
              <w:t xml:space="preserve">typo - </w:t>
            </w:r>
            <w:r w:rsidRPr="00A40732">
              <w:rPr>
                <w:b/>
                <w:i/>
              </w:rPr>
              <w:t xml:space="preserve">“Consider and mitigate against any adverse impacts </w:t>
            </w:r>
            <w:r w:rsidRPr="00A40732">
              <w:rPr>
                <w:b/>
                <w:i/>
                <w:u w:val="single"/>
              </w:rPr>
              <w:t>upon</w:t>
            </w:r>
            <w:r w:rsidRPr="00A40732">
              <w:rPr>
                <w:b/>
                <w:i/>
              </w:rPr>
              <w:t xml:space="preserve"> key features of interest”</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 xml:space="preserve">NHDC to propose amendment to Policy IC3 and/or supporting text to explain school provision options and preferences.  This should include possible retention of </w:t>
            </w:r>
            <w:proofErr w:type="spellStart"/>
            <w:r>
              <w:rPr>
                <w:b/>
              </w:rPr>
              <w:t>Ickleford</w:t>
            </w:r>
            <w:proofErr w:type="spellEnd"/>
            <w:r>
              <w:rPr>
                <w:b/>
              </w:rPr>
              <w:t xml:space="preserve"> School in its existing format and location, and possibility of a new 1FE school on IC3</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NHDC to propose amendment to Policies IC1, IC2 and IC3 requiring detailed drainage strategy similar to that set out in Policy KB2</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NHDC to propose amendment to wording of LS1 to incorporate supporting text at paragraph 13.244 (facilitation of access) in the policy itself</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NHDC to propose amendment to wording of WY1 bullet point 3 to:</w:t>
            </w:r>
          </w:p>
          <w:p w:rsidR="0041274C" w:rsidRPr="00116CEB" w:rsidRDefault="0041274C" w:rsidP="0041274C">
            <w:pPr>
              <w:pStyle w:val="ListParagraph"/>
              <w:numPr>
                <w:ilvl w:val="0"/>
                <w:numId w:val="2"/>
              </w:numPr>
              <w:spacing w:before="120" w:after="0" w:line="276" w:lineRule="auto"/>
              <w:rPr>
                <w:b/>
              </w:rPr>
            </w:pPr>
            <w:r w:rsidRPr="00116CEB">
              <w:rPr>
                <w:b/>
              </w:rPr>
              <w:t>clarify that the site is not required to bring about an amelioration of pre-existing flooding issues, although this might be a collateral benefit of the development</w:t>
            </w:r>
          </w:p>
          <w:p w:rsidR="0041274C" w:rsidRPr="00116CEB" w:rsidRDefault="0041274C" w:rsidP="0041274C">
            <w:pPr>
              <w:pStyle w:val="ListParagraph"/>
              <w:numPr>
                <w:ilvl w:val="0"/>
                <w:numId w:val="2"/>
              </w:numPr>
              <w:spacing w:before="120" w:after="0" w:line="276" w:lineRule="auto"/>
              <w:rPr>
                <w:b/>
              </w:rPr>
            </w:pPr>
            <w:r>
              <w:rPr>
                <w:b/>
              </w:rPr>
              <w:t>reconsider wording proposed in LP3 in relation to addressing flood risk and surface water issues. Stevenage BC and Hertfordshire County Council in capacity as Lead Local Flood Authority to be consulted</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 xml:space="preserve">NHDC to propose amendment to wording of Policy CD5 and supporting text (and to consider inclusion of similar wording in Policies CD1, CD2 and CD3) to explain timing of new school provision in site CD5 and the fact that it will serve CD1, CD2 and CD3 </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r w:rsidR="0041274C" w:rsidTr="0041274C">
        <w:tc>
          <w:tcPr>
            <w:tcW w:w="5920" w:type="dxa"/>
          </w:tcPr>
          <w:p w:rsidR="0041274C" w:rsidRDefault="0041274C" w:rsidP="0041274C">
            <w:pPr>
              <w:spacing w:before="120" w:after="0" w:line="276" w:lineRule="auto"/>
              <w:rPr>
                <w:b/>
              </w:rPr>
            </w:pPr>
            <w:r>
              <w:rPr>
                <w:b/>
              </w:rPr>
              <w:t xml:space="preserve">NHDC to check existence of </w:t>
            </w:r>
            <w:proofErr w:type="spellStart"/>
            <w:r>
              <w:rPr>
                <w:b/>
              </w:rPr>
              <w:t>PRoW</w:t>
            </w:r>
            <w:proofErr w:type="spellEnd"/>
            <w:r>
              <w:rPr>
                <w:b/>
              </w:rPr>
              <w:t xml:space="preserve"> across site CD3 that is not currently reflected on the Submission Proposals Map</w:t>
            </w:r>
          </w:p>
        </w:tc>
        <w:tc>
          <w:tcPr>
            <w:tcW w:w="1843" w:type="dxa"/>
          </w:tcPr>
          <w:p w:rsidR="0041274C" w:rsidRDefault="0041274C" w:rsidP="0041274C">
            <w:pPr>
              <w:spacing w:before="120" w:after="0" w:line="276" w:lineRule="auto"/>
            </w:pPr>
          </w:p>
        </w:tc>
        <w:tc>
          <w:tcPr>
            <w:tcW w:w="1843" w:type="dxa"/>
          </w:tcPr>
          <w:p w:rsidR="0041274C" w:rsidRDefault="0041274C" w:rsidP="0041274C">
            <w:pPr>
              <w:spacing w:before="120" w:after="0" w:line="276" w:lineRule="auto"/>
            </w:pPr>
          </w:p>
        </w:tc>
      </w:tr>
      <w:tr w:rsidR="0041274C" w:rsidTr="007642C1">
        <w:tc>
          <w:tcPr>
            <w:tcW w:w="5920" w:type="dxa"/>
            <w:shd w:val="clear" w:color="auto" w:fill="F2F2F2" w:themeFill="background1" w:themeFillShade="F2"/>
          </w:tcPr>
          <w:p w:rsidR="0041274C" w:rsidRDefault="0041274C" w:rsidP="0041274C">
            <w:pPr>
              <w:spacing w:before="120" w:after="0" w:line="276" w:lineRule="auto"/>
              <w:rPr>
                <w:b/>
              </w:rPr>
            </w:pPr>
            <w:r>
              <w:rPr>
                <w:b/>
              </w:rPr>
              <w:t xml:space="preserve">NHDC to insert wording proposed at paragraph 6 of NHDC </w:t>
            </w:r>
            <w:proofErr w:type="spellStart"/>
            <w:r>
              <w:rPr>
                <w:b/>
              </w:rPr>
              <w:t>Codicote</w:t>
            </w:r>
            <w:proofErr w:type="spellEnd"/>
            <w:r>
              <w:rPr>
                <w:b/>
              </w:rPr>
              <w:t xml:space="preserve"> statement into Policies CD1, CD2, CD3 and CD5 themselves instead of supporting text</w:t>
            </w:r>
          </w:p>
        </w:tc>
        <w:tc>
          <w:tcPr>
            <w:tcW w:w="1843" w:type="dxa"/>
            <w:shd w:val="clear" w:color="auto" w:fill="F2F2F2" w:themeFill="background1" w:themeFillShade="F2"/>
          </w:tcPr>
          <w:p w:rsidR="0041274C" w:rsidRDefault="0041274C" w:rsidP="0041274C">
            <w:pPr>
              <w:spacing w:before="120" w:after="0" w:line="276" w:lineRule="auto"/>
            </w:pPr>
          </w:p>
        </w:tc>
        <w:tc>
          <w:tcPr>
            <w:tcW w:w="1843" w:type="dxa"/>
            <w:shd w:val="clear" w:color="auto" w:fill="F2F2F2" w:themeFill="background1" w:themeFillShade="F2"/>
          </w:tcPr>
          <w:p w:rsidR="0041274C" w:rsidRDefault="0041274C" w:rsidP="0041274C">
            <w:pPr>
              <w:spacing w:before="120" w:after="0" w:line="276" w:lineRule="auto"/>
            </w:pPr>
          </w:p>
        </w:tc>
      </w:tr>
    </w:tbl>
    <w:p w:rsidR="0041274C" w:rsidRDefault="0041274C" w:rsidP="0041274C"/>
    <w:p w:rsidR="007642C1" w:rsidRDefault="007642C1" w:rsidP="0041274C"/>
    <w:tbl>
      <w:tblPr>
        <w:tblStyle w:val="TableGrid"/>
        <w:tblW w:w="9700" w:type="dxa"/>
        <w:tblLook w:val="04A0" w:firstRow="1" w:lastRow="0" w:firstColumn="1" w:lastColumn="0" w:noHBand="0" w:noVBand="1"/>
      </w:tblPr>
      <w:tblGrid>
        <w:gridCol w:w="5960"/>
        <w:gridCol w:w="1906"/>
        <w:gridCol w:w="1834"/>
      </w:tblGrid>
      <w:tr w:rsidR="00A01799" w:rsidRPr="00A01799" w:rsidTr="00FC4716">
        <w:trPr>
          <w:tblHeader/>
        </w:trPr>
        <w:tc>
          <w:tcPr>
            <w:tcW w:w="9700" w:type="dxa"/>
            <w:gridSpan w:val="3"/>
            <w:shd w:val="clear" w:color="auto" w:fill="B8CCE4" w:themeFill="accent1" w:themeFillTint="66"/>
          </w:tcPr>
          <w:p w:rsidR="00A01799" w:rsidRPr="00A01799" w:rsidRDefault="00A01799" w:rsidP="00A01799">
            <w:r w:rsidRPr="00A01799">
              <w:t>Matter 11 – ST IPPOLYTS, REED, SANDON, THERFIELD, WESTON, WHITWELL, OAKLANDS, OFFLEY, PIRTON AND PRESTON</w:t>
            </w:r>
          </w:p>
        </w:tc>
      </w:tr>
      <w:tr w:rsidR="00A01799" w:rsidRPr="00A01799" w:rsidTr="00FC4716">
        <w:trPr>
          <w:tblHeader/>
        </w:trPr>
        <w:tc>
          <w:tcPr>
            <w:tcW w:w="5960" w:type="dxa"/>
            <w:shd w:val="clear" w:color="auto" w:fill="000000" w:themeFill="text1"/>
          </w:tcPr>
          <w:p w:rsidR="00A01799" w:rsidRPr="00A01799" w:rsidRDefault="00A01799" w:rsidP="00A01799">
            <w:pPr>
              <w:rPr>
                <w:b/>
              </w:rPr>
            </w:pPr>
            <w:r w:rsidRPr="00A01799">
              <w:rPr>
                <w:b/>
              </w:rPr>
              <w:t>Action</w:t>
            </w:r>
          </w:p>
        </w:tc>
        <w:tc>
          <w:tcPr>
            <w:tcW w:w="1906" w:type="dxa"/>
            <w:shd w:val="clear" w:color="auto" w:fill="000000" w:themeFill="text1"/>
          </w:tcPr>
          <w:p w:rsidR="00A01799" w:rsidRPr="00A01799" w:rsidRDefault="00A01799" w:rsidP="00A01799">
            <w:pPr>
              <w:rPr>
                <w:b/>
              </w:rPr>
            </w:pPr>
            <w:r w:rsidRPr="00A01799">
              <w:rPr>
                <w:b/>
              </w:rPr>
              <w:t>Date on which Action Completed</w:t>
            </w:r>
          </w:p>
        </w:tc>
        <w:tc>
          <w:tcPr>
            <w:tcW w:w="1834" w:type="dxa"/>
            <w:shd w:val="clear" w:color="auto" w:fill="000000" w:themeFill="text1"/>
          </w:tcPr>
          <w:p w:rsidR="00A01799" w:rsidRPr="00A01799" w:rsidRDefault="00A01799" w:rsidP="00A01799">
            <w:pPr>
              <w:rPr>
                <w:b/>
              </w:rPr>
            </w:pPr>
            <w:r w:rsidRPr="00A01799">
              <w:rPr>
                <w:b/>
              </w:rPr>
              <w:t>Examination Doc Reference No.</w:t>
            </w:r>
          </w:p>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amend Proposals Map to make it clear that the eastern edge of site SI1 abuts London Road</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propose amendment to Policy SI1 to require that the partial hedgerow that forms the southwest boundary of the site is completed</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propose amendments to Policy TH1 to:</w:t>
            </w:r>
          </w:p>
          <w:p w:rsidR="00A01799" w:rsidRPr="00A01799" w:rsidRDefault="00A01799" w:rsidP="00A01799">
            <w:pPr>
              <w:numPr>
                <w:ilvl w:val="0"/>
                <w:numId w:val="3"/>
              </w:numPr>
              <w:rPr>
                <w:b/>
              </w:rPr>
            </w:pPr>
            <w:r w:rsidRPr="00A01799">
              <w:rPr>
                <w:b/>
              </w:rPr>
              <w:t>Remove bullet point 1</w:t>
            </w:r>
          </w:p>
          <w:p w:rsidR="00A01799" w:rsidRPr="00A01799" w:rsidRDefault="00A01799" w:rsidP="00A01799">
            <w:pPr>
              <w:numPr>
                <w:ilvl w:val="0"/>
                <w:numId w:val="3"/>
              </w:numPr>
              <w:rPr>
                <w:b/>
              </w:rPr>
            </w:pPr>
            <w:r w:rsidRPr="00A01799">
              <w:rPr>
                <w:b/>
              </w:rPr>
              <w:t>Remove requirement of consent from the Environment Agency.  Suggested replacement wording:</w:t>
            </w:r>
          </w:p>
          <w:p w:rsidR="00A01799" w:rsidRPr="00A01799" w:rsidRDefault="00A01799" w:rsidP="00A01799">
            <w:pPr>
              <w:rPr>
                <w:b/>
                <w:i/>
              </w:rPr>
            </w:pPr>
            <w:r w:rsidRPr="00A01799">
              <w:rPr>
                <w:b/>
                <w:i/>
              </w:rPr>
              <w:t>“Any infiltration drainage SuDS (or other features) must have regard to Environment Agency groundwater bore holes”</w:t>
            </w:r>
          </w:p>
          <w:p w:rsidR="00A01799" w:rsidRPr="00A01799" w:rsidRDefault="00A01799" w:rsidP="00A01799">
            <w:pPr>
              <w:numPr>
                <w:ilvl w:val="0"/>
                <w:numId w:val="3"/>
              </w:numPr>
              <w:rPr>
                <w:b/>
              </w:rPr>
            </w:pPr>
            <w:r w:rsidRPr="00A01799">
              <w:rPr>
                <w:b/>
              </w:rPr>
              <w:t>Include criterion regarding nearby listed buildings and their setting</w:t>
            </w:r>
          </w:p>
          <w:p w:rsidR="00A01799" w:rsidRPr="00A01799" w:rsidRDefault="00A01799" w:rsidP="00A01799">
            <w:pPr>
              <w:numPr>
                <w:ilvl w:val="0"/>
                <w:numId w:val="3"/>
              </w:numPr>
              <w:rPr>
                <w:b/>
              </w:rPr>
            </w:pPr>
            <w:r w:rsidRPr="00A01799">
              <w:rPr>
                <w:b/>
              </w:rPr>
              <w:t>Require open space to southeast portion of site TH1, in order to prevent coalescence between Therfield and Hay Green</w:t>
            </w:r>
          </w:p>
          <w:p w:rsidR="00A01799" w:rsidRPr="00A01799" w:rsidRDefault="00A01799" w:rsidP="00A01799">
            <w:pPr>
              <w:numPr>
                <w:ilvl w:val="0"/>
                <w:numId w:val="3"/>
              </w:numPr>
              <w:rPr>
                <w:b/>
              </w:rPr>
            </w:pPr>
            <w:r w:rsidRPr="00A01799">
              <w:rPr>
                <w:b/>
              </w:rPr>
              <w:t>Require the retention of the recreation ground, either through its exclusion from the settlement boundary or by wording in the policy</w:t>
            </w:r>
          </w:p>
          <w:p w:rsidR="00A01799" w:rsidRPr="00A01799" w:rsidRDefault="00A01799" w:rsidP="00A01799">
            <w:pPr>
              <w:numPr>
                <w:ilvl w:val="0"/>
                <w:numId w:val="3"/>
              </w:numPr>
              <w:rPr>
                <w:b/>
              </w:rPr>
            </w:pPr>
            <w:r w:rsidRPr="00A01799">
              <w:rPr>
                <w:b/>
              </w:rPr>
              <w:t>Amend the boundary around the southeast of the settlement (Hay Green) on the Proposals Map to more tightly follow the limit of existing development to the north of Meadow Way</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tcPr>
          <w:p w:rsidR="00A01799" w:rsidRPr="00A01799" w:rsidRDefault="00A01799" w:rsidP="00A01799">
            <w:pPr>
              <w:rPr>
                <w:b/>
              </w:rPr>
            </w:pPr>
            <w:r w:rsidRPr="00A01799">
              <w:rPr>
                <w:b/>
              </w:rPr>
              <w:t>NHDC to make English Heritage’s response to Policy TH1 at Preferred Options an examination document</w:t>
            </w:r>
          </w:p>
        </w:tc>
        <w:tc>
          <w:tcPr>
            <w:tcW w:w="1906" w:type="dxa"/>
          </w:tcPr>
          <w:p w:rsidR="00A01799" w:rsidRPr="00A01799" w:rsidRDefault="00A01799" w:rsidP="00A01799">
            <w:pPr>
              <w:rPr>
                <w:b/>
              </w:rPr>
            </w:pPr>
            <w:r w:rsidRPr="00A01799">
              <w:rPr>
                <w:b/>
              </w:rPr>
              <w:t>February 2018</w:t>
            </w:r>
          </w:p>
        </w:tc>
        <w:tc>
          <w:tcPr>
            <w:tcW w:w="1834" w:type="dxa"/>
          </w:tcPr>
          <w:p w:rsidR="00A01799" w:rsidRPr="00A01799" w:rsidRDefault="00A01799" w:rsidP="00A01799">
            <w:pPr>
              <w:rPr>
                <w:b/>
              </w:rPr>
            </w:pPr>
            <w:hyperlink r:id="rId8" w:history="1">
              <w:r w:rsidRPr="00A01799">
                <w:rPr>
                  <w:rStyle w:val="Hyperlink"/>
                  <w:b/>
                </w:rPr>
                <w:t>ED116</w:t>
              </w:r>
            </w:hyperlink>
          </w:p>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 xml:space="preserve">NHDC to propose amendment to Policy WE1 to require that the western hedgerow is maintained and/or strengthened </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tcPr>
          <w:p w:rsidR="00A01799" w:rsidRPr="00A01799" w:rsidRDefault="00A01799" w:rsidP="00A01799">
            <w:pPr>
              <w:rPr>
                <w:b/>
              </w:rPr>
            </w:pPr>
            <w:r w:rsidRPr="00A01799">
              <w:rPr>
                <w:b/>
              </w:rPr>
              <w:t xml:space="preserve">NHDC to work with site promoter to ensure safe and suitable access to site WE1, with particular attention to the lack of footpath along Hitchin Road between Friars Road and Weston Post Office.  Either a statement of common ground or note to be submitted to the Inspector on this matter </w:t>
            </w:r>
          </w:p>
        </w:tc>
        <w:tc>
          <w:tcPr>
            <w:tcW w:w="1906" w:type="dxa"/>
          </w:tcPr>
          <w:p w:rsidR="00A01799" w:rsidRPr="00A01799" w:rsidRDefault="00A01799" w:rsidP="00A01799">
            <w:r w:rsidRPr="00A01799">
              <w:t>02.05.2018</w:t>
            </w:r>
          </w:p>
        </w:tc>
        <w:tc>
          <w:tcPr>
            <w:tcW w:w="1834" w:type="dxa"/>
          </w:tcPr>
          <w:p w:rsidR="00A01799" w:rsidRPr="00A01799" w:rsidRDefault="00A01799" w:rsidP="00A01799">
            <w:r w:rsidRPr="00A01799">
              <w:t xml:space="preserve">To be advised </w:t>
            </w:r>
          </w:p>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lastRenderedPageBreak/>
              <w:t>NHDC to propose an amendment to Policy SP2 to:</w:t>
            </w:r>
          </w:p>
          <w:p w:rsidR="00A01799" w:rsidRPr="00A01799" w:rsidRDefault="00A01799" w:rsidP="00A01799">
            <w:pPr>
              <w:numPr>
                <w:ilvl w:val="0"/>
                <w:numId w:val="4"/>
              </w:numPr>
              <w:rPr>
                <w:b/>
              </w:rPr>
            </w:pPr>
            <w:r w:rsidRPr="00A01799">
              <w:rPr>
                <w:b/>
              </w:rPr>
              <w:t>Ensure that southern and western parts of the site (noted in Appeal -APP/X1925/W/16/3164043) retain a significant amount of open space.  In addition, to amend explanatory text to refer to the inspector’s decision</w:t>
            </w:r>
          </w:p>
          <w:p w:rsidR="00A01799" w:rsidRPr="00A01799" w:rsidRDefault="00A01799" w:rsidP="00A01799">
            <w:pPr>
              <w:numPr>
                <w:ilvl w:val="0"/>
                <w:numId w:val="4"/>
              </w:numPr>
              <w:rPr>
                <w:b/>
              </w:rPr>
            </w:pPr>
            <w:r w:rsidRPr="00A01799">
              <w:rPr>
                <w:b/>
              </w:rPr>
              <w:t>Amend bullet point 3 to reflect what is meant by “integration” between SP2 and the byway</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amend the settlement boundary on the Proposals Map in relation to Policy SP2 (Whitwell) to exclude the recreation ground to the south of the settlement</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amend the southeast settlement boundary on the Proposals Map next to Harris Lane (</w:t>
            </w:r>
            <w:proofErr w:type="spellStart"/>
            <w:r w:rsidRPr="00A01799">
              <w:rPr>
                <w:b/>
              </w:rPr>
              <w:t>Offley</w:t>
            </w:r>
            <w:proofErr w:type="spellEnd"/>
            <w:r w:rsidRPr="00A01799">
              <w:rPr>
                <w:b/>
              </w:rPr>
              <w:t>), to include site that has planning permission for three dwellings (the Rookery) and land to the east up to the existing natural boundary features. (See boundary proposed by Mr Andrews/Jarvis Homes’ representations)</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 xml:space="preserve">NHDC to reconsider the settlement boundary to the west of </w:t>
            </w:r>
            <w:proofErr w:type="spellStart"/>
            <w:r w:rsidRPr="00A01799">
              <w:rPr>
                <w:b/>
              </w:rPr>
              <w:t>Pirton</w:t>
            </w:r>
            <w:proofErr w:type="spellEnd"/>
            <w:r w:rsidRPr="00A01799">
              <w:rPr>
                <w:b/>
              </w:rPr>
              <w:t xml:space="preserve"> to exclude the Scheduled Ancient Monument and consider allocating a site to the north of </w:t>
            </w:r>
            <w:proofErr w:type="spellStart"/>
            <w:r w:rsidRPr="00A01799">
              <w:rPr>
                <w:b/>
              </w:rPr>
              <w:t>Danefield</w:t>
            </w:r>
            <w:proofErr w:type="spellEnd"/>
            <w:r w:rsidRPr="00A01799">
              <w:rPr>
                <w:b/>
              </w:rPr>
              <w:t xml:space="preserve"> Road</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r w:rsidR="00A01799" w:rsidRPr="00A01799" w:rsidTr="00FC4716">
        <w:tc>
          <w:tcPr>
            <w:tcW w:w="5960" w:type="dxa"/>
            <w:shd w:val="clear" w:color="auto" w:fill="F2F2F2" w:themeFill="background1" w:themeFillShade="F2"/>
          </w:tcPr>
          <w:p w:rsidR="00A01799" w:rsidRPr="00A01799" w:rsidRDefault="00A01799" w:rsidP="00A01799">
            <w:pPr>
              <w:rPr>
                <w:b/>
              </w:rPr>
            </w:pPr>
            <w:r w:rsidRPr="00A01799">
              <w:rPr>
                <w:b/>
              </w:rPr>
              <w:t>NHDC to review all housing allocations in the Local Plan to ensure that any hedgerows that would form Green Belt boundaries are expressly protected in the relevant policy wording</w:t>
            </w:r>
          </w:p>
        </w:tc>
        <w:tc>
          <w:tcPr>
            <w:tcW w:w="1906" w:type="dxa"/>
            <w:shd w:val="clear" w:color="auto" w:fill="F2F2F2" w:themeFill="background1" w:themeFillShade="F2"/>
          </w:tcPr>
          <w:p w:rsidR="00A01799" w:rsidRPr="00A01799" w:rsidRDefault="00A01799" w:rsidP="00A01799">
            <w:r w:rsidRPr="00A01799">
              <w:t>02.05.2018</w:t>
            </w:r>
          </w:p>
        </w:tc>
        <w:tc>
          <w:tcPr>
            <w:tcW w:w="1834" w:type="dxa"/>
            <w:shd w:val="clear" w:color="auto" w:fill="F2F2F2" w:themeFill="background1" w:themeFillShade="F2"/>
          </w:tcPr>
          <w:p w:rsidR="00A01799" w:rsidRPr="00A01799" w:rsidRDefault="00A01799" w:rsidP="00A01799"/>
        </w:tc>
      </w:tr>
    </w:tbl>
    <w:p w:rsidR="009E6B32" w:rsidRDefault="009E6B32" w:rsidP="0041274C">
      <w:bookmarkStart w:id="0" w:name="_GoBack"/>
      <w:bookmarkEnd w:id="0"/>
    </w:p>
    <w:p w:rsidR="009E6B32" w:rsidRDefault="009E6B32">
      <w:pPr>
        <w:spacing w:after="200" w:line="276" w:lineRule="auto"/>
      </w:pPr>
      <w:r>
        <w:br w:type="page"/>
      </w:r>
    </w:p>
    <w:tbl>
      <w:tblPr>
        <w:tblStyle w:val="TableGrid"/>
        <w:tblW w:w="9747" w:type="dxa"/>
        <w:tblLook w:val="04A0" w:firstRow="1" w:lastRow="0" w:firstColumn="1" w:lastColumn="0" w:noHBand="0" w:noVBand="1"/>
      </w:tblPr>
      <w:tblGrid>
        <w:gridCol w:w="6062"/>
        <w:gridCol w:w="1843"/>
        <w:gridCol w:w="1842"/>
      </w:tblGrid>
      <w:tr w:rsidR="00666E85" w:rsidTr="00666E85">
        <w:trPr>
          <w:tblHeader/>
        </w:trPr>
        <w:tc>
          <w:tcPr>
            <w:tcW w:w="9747" w:type="dxa"/>
            <w:gridSpan w:val="3"/>
            <w:shd w:val="clear" w:color="auto" w:fill="B8CCE4" w:themeFill="accent1" w:themeFillTint="66"/>
          </w:tcPr>
          <w:p w:rsidR="00666E85" w:rsidRPr="002A4298" w:rsidRDefault="00666E85" w:rsidP="00666E85">
            <w:pPr>
              <w:spacing w:before="120" w:after="120" w:line="276" w:lineRule="auto"/>
            </w:pPr>
            <w:r w:rsidRPr="002A4298">
              <w:lastRenderedPageBreak/>
              <w:t>Matter 12 – PROVISION FOR GYPSIES, TRAVELLERS AND TRAVELLING SHOWPEOPLE</w:t>
            </w:r>
          </w:p>
        </w:tc>
      </w:tr>
      <w:tr w:rsidR="00666E85" w:rsidTr="00666E85">
        <w:trPr>
          <w:tblHeader/>
        </w:trPr>
        <w:tc>
          <w:tcPr>
            <w:tcW w:w="6062" w:type="dxa"/>
            <w:shd w:val="clear" w:color="auto" w:fill="000000" w:themeFill="text1"/>
          </w:tcPr>
          <w:p w:rsidR="00666E85" w:rsidRPr="007642C1" w:rsidRDefault="00666E85" w:rsidP="00666E85">
            <w:pPr>
              <w:spacing w:before="120" w:after="120" w:line="276" w:lineRule="auto"/>
              <w:rPr>
                <w:b/>
              </w:rPr>
            </w:pPr>
            <w:r w:rsidRPr="007642C1">
              <w:rPr>
                <w:b/>
              </w:rPr>
              <w:t>Action</w:t>
            </w:r>
          </w:p>
        </w:tc>
        <w:tc>
          <w:tcPr>
            <w:tcW w:w="1843" w:type="dxa"/>
            <w:shd w:val="clear" w:color="auto" w:fill="000000" w:themeFill="text1"/>
          </w:tcPr>
          <w:p w:rsidR="00666E85" w:rsidRPr="007642C1" w:rsidRDefault="00666E85" w:rsidP="00666E85">
            <w:pPr>
              <w:spacing w:before="120" w:after="120" w:line="276" w:lineRule="auto"/>
              <w:rPr>
                <w:b/>
              </w:rPr>
            </w:pPr>
            <w:r w:rsidRPr="007642C1">
              <w:rPr>
                <w:b/>
              </w:rPr>
              <w:t>Date on which Action Completed</w:t>
            </w:r>
          </w:p>
        </w:tc>
        <w:tc>
          <w:tcPr>
            <w:tcW w:w="1842" w:type="dxa"/>
            <w:shd w:val="clear" w:color="auto" w:fill="000000" w:themeFill="text1"/>
          </w:tcPr>
          <w:p w:rsidR="00666E85" w:rsidRPr="007642C1" w:rsidRDefault="00666E85" w:rsidP="00666E85">
            <w:pPr>
              <w:spacing w:before="120" w:after="120" w:line="276" w:lineRule="auto"/>
              <w:rPr>
                <w:b/>
              </w:rPr>
            </w:pPr>
            <w:r w:rsidRPr="007642C1">
              <w:rPr>
                <w:b/>
              </w:rPr>
              <w:t xml:space="preserve">Examination Doc Reference No.  </w:t>
            </w:r>
          </w:p>
        </w:tc>
      </w:tr>
      <w:tr w:rsidR="00666E85" w:rsidTr="00666E85">
        <w:tc>
          <w:tcPr>
            <w:tcW w:w="6062" w:type="dxa"/>
          </w:tcPr>
          <w:p w:rsidR="00666E85" w:rsidRPr="00F33FE3" w:rsidRDefault="00666E85" w:rsidP="00666E85">
            <w:pPr>
              <w:spacing w:before="120" w:after="120" w:line="276" w:lineRule="auto"/>
              <w:rPr>
                <w:b/>
              </w:rPr>
            </w:pPr>
            <w:r>
              <w:rPr>
                <w:b/>
              </w:rPr>
              <w:t>NHDC to provide note from ORS with information as to the adjustment made to national household formation rates to arrive at the total future need of 4</w:t>
            </w:r>
          </w:p>
        </w:tc>
        <w:tc>
          <w:tcPr>
            <w:tcW w:w="1843" w:type="dxa"/>
          </w:tcPr>
          <w:p w:rsidR="00666E85" w:rsidRDefault="00666E85" w:rsidP="00666E85">
            <w:pPr>
              <w:spacing w:before="120" w:after="120" w:line="276" w:lineRule="auto"/>
            </w:pPr>
          </w:p>
        </w:tc>
        <w:tc>
          <w:tcPr>
            <w:tcW w:w="1842" w:type="dxa"/>
          </w:tcPr>
          <w:p w:rsidR="00666E85" w:rsidRDefault="00666E85" w:rsidP="00666E85">
            <w:pPr>
              <w:spacing w:before="120" w:after="120" w:line="276" w:lineRule="auto"/>
            </w:pPr>
          </w:p>
        </w:tc>
      </w:tr>
      <w:tr w:rsidR="00666E85" w:rsidTr="007642C1">
        <w:tc>
          <w:tcPr>
            <w:tcW w:w="6062" w:type="dxa"/>
            <w:shd w:val="clear" w:color="auto" w:fill="F2F2F2" w:themeFill="background1" w:themeFillShade="F2"/>
          </w:tcPr>
          <w:p w:rsidR="00666E85" w:rsidRDefault="00666E85" w:rsidP="007642C1">
            <w:pPr>
              <w:spacing w:before="120" w:after="120" w:line="276" w:lineRule="auto"/>
              <w:rPr>
                <w:b/>
              </w:rPr>
            </w:pPr>
            <w:r>
              <w:rPr>
                <w:b/>
              </w:rPr>
              <w:t>NHDC to propose modification to Policy SP8 and HS7 in order to allocate Pottershea</w:t>
            </w:r>
            <w:r w:rsidR="007642C1">
              <w:rPr>
                <w:b/>
              </w:rPr>
              <w:t>th</w:t>
            </w:r>
            <w:r>
              <w:rPr>
                <w:b/>
              </w:rPr>
              <w:t xml:space="preserve"> Road as a site</w:t>
            </w:r>
          </w:p>
        </w:tc>
        <w:tc>
          <w:tcPr>
            <w:tcW w:w="1843" w:type="dxa"/>
            <w:shd w:val="clear" w:color="auto" w:fill="F2F2F2" w:themeFill="background1" w:themeFillShade="F2"/>
          </w:tcPr>
          <w:p w:rsidR="00666E85" w:rsidRDefault="00666E85" w:rsidP="00666E85">
            <w:pPr>
              <w:spacing w:before="120" w:after="120" w:line="276" w:lineRule="auto"/>
            </w:pPr>
          </w:p>
        </w:tc>
        <w:tc>
          <w:tcPr>
            <w:tcW w:w="1842" w:type="dxa"/>
            <w:shd w:val="clear" w:color="auto" w:fill="F2F2F2" w:themeFill="background1" w:themeFillShade="F2"/>
          </w:tcPr>
          <w:p w:rsidR="00666E85" w:rsidRDefault="00666E85" w:rsidP="00666E85">
            <w:pPr>
              <w:spacing w:before="120" w:after="120" w:line="276" w:lineRule="auto"/>
            </w:pPr>
          </w:p>
        </w:tc>
      </w:tr>
      <w:tr w:rsidR="00666E85" w:rsidTr="007642C1">
        <w:tc>
          <w:tcPr>
            <w:tcW w:w="6062" w:type="dxa"/>
            <w:shd w:val="clear" w:color="auto" w:fill="F2F2F2" w:themeFill="background1" w:themeFillShade="F2"/>
          </w:tcPr>
          <w:p w:rsidR="00666E85" w:rsidRDefault="00666E85" w:rsidP="00666E85">
            <w:pPr>
              <w:spacing w:before="120" w:after="120" w:line="276" w:lineRule="auto"/>
              <w:rPr>
                <w:b/>
              </w:rPr>
            </w:pPr>
            <w:r>
              <w:rPr>
                <w:b/>
              </w:rPr>
              <w:t>NHDC to modify Plan to correct reference to ‘</w:t>
            </w:r>
            <w:proofErr w:type="spellStart"/>
            <w:r>
              <w:rPr>
                <w:b/>
              </w:rPr>
              <w:t>Pulmore</w:t>
            </w:r>
            <w:proofErr w:type="spellEnd"/>
            <w:r>
              <w:rPr>
                <w:b/>
              </w:rPr>
              <w:t xml:space="preserve"> Water’ to ‘Pulmer Water’ (Policy HS7, para 8.42, para 8.44, para 13.78, Policy CD5)</w:t>
            </w:r>
          </w:p>
        </w:tc>
        <w:tc>
          <w:tcPr>
            <w:tcW w:w="1843" w:type="dxa"/>
            <w:shd w:val="clear" w:color="auto" w:fill="F2F2F2" w:themeFill="background1" w:themeFillShade="F2"/>
          </w:tcPr>
          <w:p w:rsidR="00666E85" w:rsidRDefault="00666E85" w:rsidP="00666E85">
            <w:pPr>
              <w:spacing w:before="120" w:after="120" w:line="276" w:lineRule="auto"/>
            </w:pPr>
          </w:p>
        </w:tc>
        <w:tc>
          <w:tcPr>
            <w:tcW w:w="1842" w:type="dxa"/>
            <w:shd w:val="clear" w:color="auto" w:fill="F2F2F2" w:themeFill="background1" w:themeFillShade="F2"/>
          </w:tcPr>
          <w:p w:rsidR="00666E85" w:rsidRDefault="00666E85" w:rsidP="00666E85">
            <w:pPr>
              <w:spacing w:before="120" w:after="120" w:line="276" w:lineRule="auto"/>
            </w:pPr>
          </w:p>
        </w:tc>
      </w:tr>
      <w:tr w:rsidR="00666E85" w:rsidTr="007642C1">
        <w:tc>
          <w:tcPr>
            <w:tcW w:w="6062" w:type="dxa"/>
            <w:shd w:val="clear" w:color="auto" w:fill="F2F2F2" w:themeFill="background1" w:themeFillShade="F2"/>
          </w:tcPr>
          <w:p w:rsidR="00666E85" w:rsidRDefault="00666E85" w:rsidP="00666E85">
            <w:pPr>
              <w:spacing w:before="120" w:after="120" w:line="276" w:lineRule="auto"/>
              <w:rPr>
                <w:b/>
              </w:rPr>
            </w:pPr>
            <w:r>
              <w:rPr>
                <w:b/>
              </w:rPr>
              <w:t>NHDC to propose modification to Plan to inset the Pottersheath Road and Pulmer Water sites from the Green Belt (insofar as the land is used meet a specific need for gypsies and travellers (on basis that certain parts of Pulmer Water are not occupied by gypsies and travellers) and to set out in a note the exceptional circumstances for so doing</w:t>
            </w:r>
          </w:p>
        </w:tc>
        <w:tc>
          <w:tcPr>
            <w:tcW w:w="1843" w:type="dxa"/>
            <w:shd w:val="clear" w:color="auto" w:fill="F2F2F2" w:themeFill="background1" w:themeFillShade="F2"/>
          </w:tcPr>
          <w:p w:rsidR="00666E85" w:rsidRDefault="00666E85" w:rsidP="00666E85">
            <w:pPr>
              <w:spacing w:before="120" w:after="120" w:line="276" w:lineRule="auto"/>
            </w:pPr>
          </w:p>
        </w:tc>
        <w:tc>
          <w:tcPr>
            <w:tcW w:w="1842" w:type="dxa"/>
            <w:shd w:val="clear" w:color="auto" w:fill="F2F2F2" w:themeFill="background1" w:themeFillShade="F2"/>
          </w:tcPr>
          <w:p w:rsidR="00666E85" w:rsidRDefault="00666E85" w:rsidP="00666E85">
            <w:pPr>
              <w:spacing w:before="120" w:after="120" w:line="276" w:lineRule="auto"/>
            </w:pPr>
          </w:p>
        </w:tc>
      </w:tr>
      <w:tr w:rsidR="00666E85" w:rsidTr="00666E85">
        <w:tc>
          <w:tcPr>
            <w:tcW w:w="6062" w:type="dxa"/>
          </w:tcPr>
          <w:p w:rsidR="00666E85" w:rsidRDefault="00666E85" w:rsidP="00666E85">
            <w:pPr>
              <w:spacing w:before="120" w:after="120" w:line="276" w:lineRule="auto"/>
              <w:rPr>
                <w:b/>
              </w:rPr>
            </w:pPr>
            <w:r>
              <w:rPr>
                <w:b/>
              </w:rPr>
              <w:t>NHDC to provide a site capacity assessment for the Pottersheath Road site</w:t>
            </w:r>
          </w:p>
        </w:tc>
        <w:tc>
          <w:tcPr>
            <w:tcW w:w="1843" w:type="dxa"/>
          </w:tcPr>
          <w:p w:rsidR="00666E85" w:rsidRDefault="00666E85" w:rsidP="00666E85">
            <w:pPr>
              <w:spacing w:before="120" w:after="120" w:line="276" w:lineRule="auto"/>
            </w:pPr>
          </w:p>
        </w:tc>
        <w:tc>
          <w:tcPr>
            <w:tcW w:w="1842" w:type="dxa"/>
          </w:tcPr>
          <w:p w:rsidR="00666E85" w:rsidRDefault="00666E85" w:rsidP="00666E85">
            <w:pPr>
              <w:spacing w:before="120" w:after="120" w:line="276" w:lineRule="auto"/>
            </w:pPr>
          </w:p>
        </w:tc>
      </w:tr>
      <w:tr w:rsidR="00666E85" w:rsidTr="00666E85">
        <w:tc>
          <w:tcPr>
            <w:tcW w:w="6062" w:type="dxa"/>
          </w:tcPr>
          <w:p w:rsidR="00666E85" w:rsidRDefault="00666E85" w:rsidP="00666E85">
            <w:pPr>
              <w:spacing w:before="120" w:after="120" w:line="276" w:lineRule="auto"/>
              <w:rPr>
                <w:b/>
              </w:rPr>
            </w:pPr>
            <w:r>
              <w:rPr>
                <w:b/>
              </w:rPr>
              <w:t>NHDC to provide SA of the Pottersheath Road site</w:t>
            </w:r>
          </w:p>
        </w:tc>
        <w:tc>
          <w:tcPr>
            <w:tcW w:w="1843" w:type="dxa"/>
          </w:tcPr>
          <w:p w:rsidR="00666E85" w:rsidRDefault="00666E85" w:rsidP="00666E85">
            <w:pPr>
              <w:spacing w:before="120" w:after="120" w:line="276" w:lineRule="auto"/>
            </w:pPr>
          </w:p>
        </w:tc>
        <w:tc>
          <w:tcPr>
            <w:tcW w:w="1842" w:type="dxa"/>
          </w:tcPr>
          <w:p w:rsidR="00666E85" w:rsidRDefault="00666E85" w:rsidP="00666E85">
            <w:pPr>
              <w:spacing w:before="120" w:after="120" w:line="276" w:lineRule="auto"/>
            </w:pPr>
          </w:p>
        </w:tc>
      </w:tr>
      <w:tr w:rsidR="00666E85" w:rsidTr="007642C1">
        <w:tc>
          <w:tcPr>
            <w:tcW w:w="6062" w:type="dxa"/>
            <w:shd w:val="clear" w:color="auto" w:fill="F2F2F2" w:themeFill="background1" w:themeFillShade="F2"/>
          </w:tcPr>
          <w:p w:rsidR="00666E85" w:rsidRDefault="00666E85" w:rsidP="00666E85">
            <w:pPr>
              <w:spacing w:before="120" w:after="120" w:line="276" w:lineRule="auto"/>
              <w:rPr>
                <w:b/>
              </w:rPr>
            </w:pPr>
            <w:r>
              <w:rPr>
                <w:b/>
              </w:rPr>
              <w:t>NHDC to split Policy HS7 into two sections, with the first section to relate to the site allocations and the second section to relate to the criteria-based approach for determining applications</w:t>
            </w:r>
          </w:p>
        </w:tc>
        <w:tc>
          <w:tcPr>
            <w:tcW w:w="1843" w:type="dxa"/>
            <w:shd w:val="clear" w:color="auto" w:fill="F2F2F2" w:themeFill="background1" w:themeFillShade="F2"/>
          </w:tcPr>
          <w:p w:rsidR="00666E85" w:rsidRDefault="00666E85" w:rsidP="00666E85">
            <w:pPr>
              <w:spacing w:before="120" w:after="120" w:line="276" w:lineRule="auto"/>
            </w:pPr>
          </w:p>
        </w:tc>
        <w:tc>
          <w:tcPr>
            <w:tcW w:w="1842" w:type="dxa"/>
            <w:shd w:val="clear" w:color="auto" w:fill="F2F2F2" w:themeFill="background1" w:themeFillShade="F2"/>
          </w:tcPr>
          <w:p w:rsidR="00666E85" w:rsidRDefault="00666E85" w:rsidP="00666E85">
            <w:pPr>
              <w:spacing w:before="120" w:after="120" w:line="276" w:lineRule="auto"/>
            </w:pPr>
          </w:p>
        </w:tc>
      </w:tr>
      <w:tr w:rsidR="00666E85" w:rsidTr="00666E85">
        <w:tc>
          <w:tcPr>
            <w:tcW w:w="6062" w:type="dxa"/>
          </w:tcPr>
          <w:p w:rsidR="00666E85" w:rsidRDefault="00666E85" w:rsidP="00666E85">
            <w:pPr>
              <w:spacing w:before="120" w:after="120" w:line="276" w:lineRule="auto"/>
              <w:rPr>
                <w:b/>
              </w:rPr>
            </w:pPr>
            <w:r>
              <w:rPr>
                <w:b/>
              </w:rPr>
              <w:t>NHDC to prepare an accompanying note for the Inspector:</w:t>
            </w:r>
          </w:p>
          <w:p w:rsidR="00666E85" w:rsidRDefault="00666E85" w:rsidP="00666E85">
            <w:pPr>
              <w:pStyle w:val="ListParagraph"/>
              <w:numPr>
                <w:ilvl w:val="0"/>
                <w:numId w:val="5"/>
              </w:numPr>
              <w:spacing w:before="120" w:after="120" w:line="276" w:lineRule="auto"/>
              <w:rPr>
                <w:b/>
              </w:rPr>
            </w:pPr>
            <w:r>
              <w:rPr>
                <w:b/>
              </w:rPr>
              <w:t>Explaining th</w:t>
            </w:r>
            <w:r w:rsidRPr="003031A4">
              <w:rPr>
                <w:b/>
              </w:rPr>
              <w:t xml:space="preserve">e scope of the </w:t>
            </w:r>
            <w:r>
              <w:rPr>
                <w:b/>
              </w:rPr>
              <w:t xml:space="preserve">planning </w:t>
            </w:r>
            <w:r w:rsidRPr="003031A4">
              <w:rPr>
                <w:b/>
              </w:rPr>
              <w:t>permission granted for use of the land to the north of the Pulmer Water site</w:t>
            </w:r>
          </w:p>
          <w:p w:rsidR="00666E85" w:rsidRDefault="00666E85" w:rsidP="00666E85">
            <w:pPr>
              <w:pStyle w:val="ListParagraph"/>
              <w:numPr>
                <w:ilvl w:val="0"/>
                <w:numId w:val="5"/>
              </w:numPr>
              <w:spacing w:before="120" w:after="120" w:line="276" w:lineRule="auto"/>
              <w:rPr>
                <w:b/>
              </w:rPr>
            </w:pPr>
            <w:r>
              <w:rPr>
                <w:b/>
              </w:rPr>
              <w:t>Discussing w</w:t>
            </w:r>
            <w:r w:rsidRPr="003031A4">
              <w:rPr>
                <w:b/>
              </w:rPr>
              <w:t xml:space="preserve">hether </w:t>
            </w:r>
            <w:r>
              <w:rPr>
                <w:b/>
              </w:rPr>
              <w:t>the permission allows</w:t>
            </w:r>
            <w:r w:rsidRPr="003031A4">
              <w:rPr>
                <w:b/>
              </w:rPr>
              <w:t xml:space="preserve"> </w:t>
            </w:r>
            <w:r>
              <w:rPr>
                <w:b/>
              </w:rPr>
              <w:t>for removal of</w:t>
            </w:r>
            <w:r w:rsidRPr="003031A4">
              <w:rPr>
                <w:b/>
              </w:rPr>
              <w:t xml:space="preserve"> </w:t>
            </w:r>
            <w:r>
              <w:rPr>
                <w:b/>
              </w:rPr>
              <w:t>the 9 identified non-travellers from this site</w:t>
            </w:r>
          </w:p>
          <w:p w:rsidR="00666E85" w:rsidRDefault="00666E85" w:rsidP="00666E85">
            <w:pPr>
              <w:pStyle w:val="ListParagraph"/>
              <w:numPr>
                <w:ilvl w:val="0"/>
                <w:numId w:val="5"/>
              </w:numPr>
              <w:spacing w:before="120" w:after="120" w:line="276" w:lineRule="auto"/>
              <w:rPr>
                <w:b/>
              </w:rPr>
            </w:pPr>
            <w:r>
              <w:rPr>
                <w:b/>
              </w:rPr>
              <w:t>If</w:t>
            </w:r>
            <w:r w:rsidRPr="003031A4">
              <w:rPr>
                <w:b/>
              </w:rPr>
              <w:t xml:space="preserve"> the need cannot be accommodated on this site</w:t>
            </w:r>
            <w:r>
              <w:rPr>
                <w:b/>
              </w:rPr>
              <w:t xml:space="preserve"> alone, explaining why not</w:t>
            </w:r>
          </w:p>
          <w:p w:rsidR="00666E85" w:rsidRDefault="00666E85" w:rsidP="00666E85">
            <w:pPr>
              <w:pStyle w:val="ListParagraph"/>
              <w:numPr>
                <w:ilvl w:val="0"/>
                <w:numId w:val="5"/>
              </w:numPr>
              <w:spacing w:before="120" w:after="120" w:line="276" w:lineRule="auto"/>
              <w:rPr>
                <w:b/>
              </w:rPr>
            </w:pPr>
            <w:r w:rsidRPr="002D648C">
              <w:rPr>
                <w:b/>
              </w:rPr>
              <w:t>Clarifying the scope of the use authorised by the CLEUD on land to the south of the site</w:t>
            </w:r>
          </w:p>
          <w:p w:rsidR="00666E85" w:rsidRPr="006E3B79" w:rsidRDefault="00666E85" w:rsidP="00666E85">
            <w:pPr>
              <w:pStyle w:val="ListParagraph"/>
              <w:numPr>
                <w:ilvl w:val="0"/>
                <w:numId w:val="5"/>
              </w:numPr>
              <w:spacing w:before="120" w:after="120" w:line="276" w:lineRule="auto"/>
              <w:rPr>
                <w:b/>
              </w:rPr>
            </w:pPr>
            <w:r w:rsidRPr="006E3B79">
              <w:rPr>
                <w:b/>
              </w:rPr>
              <w:t>Explaining the location of the Green Belt boundary around the Pottersheath site</w:t>
            </w:r>
          </w:p>
        </w:tc>
        <w:tc>
          <w:tcPr>
            <w:tcW w:w="1843" w:type="dxa"/>
          </w:tcPr>
          <w:p w:rsidR="00666E85" w:rsidRDefault="00666E85" w:rsidP="00666E85">
            <w:pPr>
              <w:spacing w:before="120" w:after="120" w:line="276" w:lineRule="auto"/>
            </w:pPr>
          </w:p>
        </w:tc>
        <w:tc>
          <w:tcPr>
            <w:tcW w:w="1842" w:type="dxa"/>
          </w:tcPr>
          <w:p w:rsidR="00666E85" w:rsidRDefault="00666E85" w:rsidP="00666E85">
            <w:pPr>
              <w:spacing w:before="120" w:after="120" w:line="276" w:lineRule="auto"/>
            </w:pPr>
          </w:p>
        </w:tc>
      </w:tr>
    </w:tbl>
    <w:p w:rsidR="00B5088D" w:rsidRDefault="00B5088D" w:rsidP="007642C1"/>
    <w:sectPr w:rsidR="00B5088D" w:rsidSect="00666E85">
      <w:headerReference w:type="default" r:id="rId9"/>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85" w:rsidRDefault="00666E85" w:rsidP="00666E85">
      <w:pPr>
        <w:spacing w:after="0" w:line="240" w:lineRule="auto"/>
      </w:pPr>
      <w:r>
        <w:separator/>
      </w:r>
    </w:p>
  </w:endnote>
  <w:endnote w:type="continuationSeparator" w:id="0">
    <w:p w:rsidR="00666E85" w:rsidRDefault="00666E85" w:rsidP="0066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85" w:rsidRDefault="00666E85" w:rsidP="00666E85">
      <w:pPr>
        <w:spacing w:after="0" w:line="240" w:lineRule="auto"/>
      </w:pPr>
      <w:r>
        <w:separator/>
      </w:r>
    </w:p>
  </w:footnote>
  <w:footnote w:type="continuationSeparator" w:id="0">
    <w:p w:rsidR="00666E85" w:rsidRDefault="00666E85" w:rsidP="00666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85" w:rsidRDefault="00666E85" w:rsidP="00666E85">
    <w:pPr>
      <w:pStyle w:val="Header"/>
    </w:pPr>
    <w:r>
      <w:t>NORTH HERTFORDSHIRE DISTRICT COUNCIL LOCAL PLAN EXAMINATION</w:t>
    </w:r>
  </w:p>
  <w:p w:rsidR="00666E85" w:rsidRDefault="0066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2459"/>
    <w:multiLevelType w:val="hybridMultilevel"/>
    <w:tmpl w:val="BEC40252"/>
    <w:lvl w:ilvl="0" w:tplc="4A668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7F03BD"/>
    <w:multiLevelType w:val="hybridMultilevel"/>
    <w:tmpl w:val="CB62E694"/>
    <w:lvl w:ilvl="0" w:tplc="C5829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DE09BC"/>
    <w:multiLevelType w:val="hybridMultilevel"/>
    <w:tmpl w:val="3F5AE1AC"/>
    <w:lvl w:ilvl="0" w:tplc="6FBCD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B492B"/>
    <w:multiLevelType w:val="hybridMultilevel"/>
    <w:tmpl w:val="0CC4F656"/>
    <w:lvl w:ilvl="0" w:tplc="6FBCD83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77B24846"/>
    <w:multiLevelType w:val="hybridMultilevel"/>
    <w:tmpl w:val="F754E994"/>
    <w:lvl w:ilvl="0" w:tplc="6FBCD83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4C"/>
    <w:rsid w:val="00371CA5"/>
    <w:rsid w:val="003E7DE9"/>
    <w:rsid w:val="0041274C"/>
    <w:rsid w:val="005F76F3"/>
    <w:rsid w:val="00666E85"/>
    <w:rsid w:val="007642C1"/>
    <w:rsid w:val="007C3169"/>
    <w:rsid w:val="009E6B32"/>
    <w:rsid w:val="00A01799"/>
    <w:rsid w:val="00AC5F2F"/>
    <w:rsid w:val="00B5088D"/>
    <w:rsid w:val="00F92413"/>
    <w:rsid w:val="00FE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4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4C"/>
    <w:pPr>
      <w:ind w:left="720"/>
      <w:contextualSpacing/>
    </w:pPr>
  </w:style>
  <w:style w:type="table" w:styleId="TableGrid">
    <w:name w:val="Table Grid"/>
    <w:basedOn w:val="TableNormal"/>
    <w:uiPriority w:val="39"/>
    <w:rsid w:val="00412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85"/>
  </w:style>
  <w:style w:type="paragraph" w:styleId="Footer">
    <w:name w:val="footer"/>
    <w:basedOn w:val="Normal"/>
    <w:link w:val="FooterChar"/>
    <w:uiPriority w:val="99"/>
    <w:unhideWhenUsed/>
    <w:rsid w:val="0066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85"/>
  </w:style>
  <w:style w:type="character" w:styleId="Hyperlink">
    <w:name w:val="Hyperlink"/>
    <w:basedOn w:val="DefaultParagraphFont"/>
    <w:uiPriority w:val="99"/>
    <w:unhideWhenUsed/>
    <w:rsid w:val="007C3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4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4C"/>
    <w:pPr>
      <w:ind w:left="720"/>
      <w:contextualSpacing/>
    </w:pPr>
  </w:style>
  <w:style w:type="table" w:styleId="TableGrid">
    <w:name w:val="Table Grid"/>
    <w:basedOn w:val="TableNormal"/>
    <w:uiPriority w:val="39"/>
    <w:rsid w:val="00412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85"/>
  </w:style>
  <w:style w:type="paragraph" w:styleId="Footer">
    <w:name w:val="footer"/>
    <w:basedOn w:val="Normal"/>
    <w:link w:val="FooterChar"/>
    <w:uiPriority w:val="99"/>
    <w:unhideWhenUsed/>
    <w:rsid w:val="0066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85"/>
  </w:style>
  <w:style w:type="character" w:styleId="Hyperlink">
    <w:name w:val="Hyperlink"/>
    <w:basedOn w:val="DefaultParagraphFont"/>
    <w:uiPriority w:val="99"/>
    <w:unhideWhenUsed/>
    <w:rsid w:val="007C3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ed116-english-heritage-representation-preferred-options-consultation-february-201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Skeels</dc:creator>
  <cp:lastModifiedBy>Simon Meecham</cp:lastModifiedBy>
  <cp:revision>3</cp:revision>
  <cp:lastPrinted>2018-03-07T15:18:00Z</cp:lastPrinted>
  <dcterms:created xsi:type="dcterms:W3CDTF">2018-04-24T08:15:00Z</dcterms:created>
  <dcterms:modified xsi:type="dcterms:W3CDTF">2018-04-26T13:51:00Z</dcterms:modified>
</cp:coreProperties>
</file>