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EC" w:rsidRDefault="002410EC" w:rsidP="002410EC">
      <w:pPr>
        <w:jc w:val="center"/>
        <w:rPr>
          <w:sz w:val="28"/>
          <w:szCs w:val="28"/>
          <w:u w:val="single"/>
        </w:rPr>
      </w:pPr>
      <w:r w:rsidRPr="000C413A">
        <w:rPr>
          <w:sz w:val="28"/>
          <w:szCs w:val="28"/>
          <w:u w:val="single"/>
        </w:rPr>
        <w:t>Table of Actions</w:t>
      </w:r>
      <w:r w:rsidR="008C1F96">
        <w:rPr>
          <w:sz w:val="28"/>
          <w:szCs w:val="28"/>
          <w:u w:val="single"/>
        </w:rPr>
        <w:t xml:space="preserve"> – Week 5</w:t>
      </w:r>
    </w:p>
    <w:p w:rsidR="008C1F96" w:rsidRPr="000C413A" w:rsidRDefault="008C1F96" w:rsidP="002410EC">
      <w:pPr>
        <w:jc w:val="center"/>
        <w:rPr>
          <w:sz w:val="28"/>
          <w:szCs w:val="28"/>
          <w:u w:val="single"/>
        </w:rPr>
      </w:pPr>
      <w:r>
        <w:rPr>
          <w:sz w:val="28"/>
          <w:szCs w:val="28"/>
          <w:u w:val="single"/>
        </w:rPr>
        <w:t>Matter 21</w:t>
      </w:r>
    </w:p>
    <w:p w:rsidR="00243477" w:rsidRDefault="00243477" w:rsidP="00243477">
      <w:r>
        <w:t xml:space="preserve">Local Plan Examination actions as requested by the Inspector are shown in the tables below.  </w:t>
      </w:r>
    </w:p>
    <w:p w:rsidR="00243477" w:rsidRDefault="00243477" w:rsidP="00243477">
      <w:r>
        <w:t>Where appropriate there are links to the relevant Examination Documents.</w:t>
      </w:r>
    </w:p>
    <w:p w:rsidR="00243477" w:rsidRDefault="00243477" w:rsidP="00243477">
      <w:r>
        <w:t xml:space="preserve">Actions which are shaded pale grey in the tables include proposed main modifications.  These will be added to the website in due course.  </w:t>
      </w:r>
    </w:p>
    <w:p w:rsidR="00FA2BA4" w:rsidRDefault="00FA2BA4"/>
    <w:tbl>
      <w:tblPr>
        <w:tblStyle w:val="TableGrid"/>
        <w:tblW w:w="9889" w:type="dxa"/>
        <w:tblLook w:val="04A0" w:firstRow="1" w:lastRow="0" w:firstColumn="1" w:lastColumn="0" w:noHBand="0" w:noVBand="1"/>
      </w:tblPr>
      <w:tblGrid>
        <w:gridCol w:w="6204"/>
        <w:gridCol w:w="1842"/>
        <w:gridCol w:w="1843"/>
      </w:tblGrid>
      <w:tr w:rsidR="008C1F96" w:rsidTr="008C1F96">
        <w:trPr>
          <w:tblHeader/>
        </w:trPr>
        <w:tc>
          <w:tcPr>
            <w:tcW w:w="8046" w:type="dxa"/>
            <w:gridSpan w:val="2"/>
            <w:shd w:val="clear" w:color="auto" w:fill="BDD6EE" w:themeFill="accent1" w:themeFillTint="66"/>
          </w:tcPr>
          <w:p w:rsidR="008C1F96" w:rsidRDefault="008C1F96" w:rsidP="00FA2BA4">
            <w:r>
              <w:t xml:space="preserve">Matter 21 </w:t>
            </w:r>
            <w:r w:rsidR="00243477">
              <w:t>– Air Quality</w:t>
            </w:r>
          </w:p>
        </w:tc>
        <w:tc>
          <w:tcPr>
            <w:tcW w:w="1843" w:type="dxa"/>
            <w:shd w:val="clear" w:color="auto" w:fill="BDD6EE" w:themeFill="accent1" w:themeFillTint="66"/>
          </w:tcPr>
          <w:p w:rsidR="008C1F96" w:rsidRDefault="008C1F96" w:rsidP="00FA2BA4"/>
        </w:tc>
      </w:tr>
      <w:tr w:rsidR="008C1F96" w:rsidTr="008C1F96">
        <w:trPr>
          <w:tblHeader/>
        </w:trPr>
        <w:tc>
          <w:tcPr>
            <w:tcW w:w="6204" w:type="dxa"/>
            <w:shd w:val="clear" w:color="auto" w:fill="000000" w:themeFill="text1"/>
          </w:tcPr>
          <w:p w:rsidR="008C1F96" w:rsidRPr="00243477" w:rsidRDefault="008C1F96" w:rsidP="00346B77">
            <w:pPr>
              <w:rPr>
                <w:b/>
              </w:rPr>
            </w:pPr>
            <w:r w:rsidRPr="00243477">
              <w:rPr>
                <w:b/>
              </w:rPr>
              <w:t>Action</w:t>
            </w:r>
          </w:p>
        </w:tc>
        <w:tc>
          <w:tcPr>
            <w:tcW w:w="1842" w:type="dxa"/>
            <w:shd w:val="clear" w:color="auto" w:fill="000000" w:themeFill="text1"/>
          </w:tcPr>
          <w:p w:rsidR="008C1F96" w:rsidRPr="00243477" w:rsidRDefault="008C1F96" w:rsidP="00346B77">
            <w:pPr>
              <w:rPr>
                <w:b/>
              </w:rPr>
            </w:pPr>
            <w:r w:rsidRPr="00243477">
              <w:rPr>
                <w:b/>
              </w:rPr>
              <w:t>Date on which Action Completed</w:t>
            </w:r>
          </w:p>
        </w:tc>
        <w:tc>
          <w:tcPr>
            <w:tcW w:w="1843" w:type="dxa"/>
            <w:shd w:val="clear" w:color="auto" w:fill="000000" w:themeFill="text1"/>
          </w:tcPr>
          <w:p w:rsidR="008C1F96" w:rsidRPr="00243477" w:rsidRDefault="008C1F96" w:rsidP="008C1F96">
            <w:pPr>
              <w:rPr>
                <w:b/>
              </w:rPr>
            </w:pPr>
            <w:r w:rsidRPr="00243477">
              <w:rPr>
                <w:b/>
              </w:rPr>
              <w:t>Examination Doc</w:t>
            </w:r>
          </w:p>
          <w:p w:rsidR="008C1F96" w:rsidRPr="00243477" w:rsidRDefault="008C1F96" w:rsidP="008C1F96">
            <w:pPr>
              <w:rPr>
                <w:b/>
              </w:rPr>
            </w:pPr>
            <w:r w:rsidRPr="00243477">
              <w:rPr>
                <w:b/>
              </w:rPr>
              <w:t>Reference No.</w:t>
            </w:r>
          </w:p>
        </w:tc>
      </w:tr>
      <w:tr w:rsidR="008C1F96" w:rsidTr="008C1F96">
        <w:tc>
          <w:tcPr>
            <w:tcW w:w="6204" w:type="dxa"/>
          </w:tcPr>
          <w:p w:rsidR="008C1F96" w:rsidRPr="00501368" w:rsidRDefault="008C1F96" w:rsidP="00FA2BA4">
            <w:pPr>
              <w:spacing w:line="360" w:lineRule="auto"/>
              <w:rPr>
                <w:b/>
              </w:rPr>
            </w:pPr>
            <w:r>
              <w:rPr>
                <w:b/>
              </w:rPr>
              <w:t xml:space="preserve">NHDC to find air quality monitoring data for </w:t>
            </w:r>
            <w:proofErr w:type="spellStart"/>
            <w:r>
              <w:rPr>
                <w:b/>
              </w:rPr>
              <w:t>Graveley</w:t>
            </w:r>
            <w:proofErr w:type="spellEnd"/>
            <w:r>
              <w:rPr>
                <w:b/>
              </w:rPr>
              <w:t xml:space="preserve"> showing the position as it is now (if there is any data)</w:t>
            </w:r>
          </w:p>
        </w:tc>
        <w:tc>
          <w:tcPr>
            <w:tcW w:w="1842" w:type="dxa"/>
          </w:tcPr>
          <w:p w:rsidR="008C1F96" w:rsidRDefault="008C1F96" w:rsidP="00FA2BA4"/>
        </w:tc>
        <w:tc>
          <w:tcPr>
            <w:tcW w:w="1843" w:type="dxa"/>
          </w:tcPr>
          <w:p w:rsidR="008C1F96" w:rsidRDefault="008C1F96" w:rsidP="00FA2BA4"/>
        </w:tc>
      </w:tr>
      <w:tr w:rsidR="008C1F96" w:rsidTr="008C1F96">
        <w:tc>
          <w:tcPr>
            <w:tcW w:w="6204" w:type="dxa"/>
          </w:tcPr>
          <w:p w:rsidR="008C1F96" w:rsidRPr="00501368" w:rsidRDefault="008C1F96" w:rsidP="00FA2BA4">
            <w:pPr>
              <w:spacing w:line="360" w:lineRule="auto"/>
              <w:rPr>
                <w:b/>
              </w:rPr>
            </w:pPr>
            <w:r>
              <w:rPr>
                <w:b/>
              </w:rPr>
              <w:t>NHDC to publish an addendum to its Matter 21 Air Quality Statement clarifying that the tables are based upon air quality monitoring data from 2016 and earlier and explaining why the data from 2017 was not used (as this data is incomplete).</w:t>
            </w:r>
          </w:p>
        </w:tc>
        <w:tc>
          <w:tcPr>
            <w:tcW w:w="1842" w:type="dxa"/>
          </w:tcPr>
          <w:p w:rsidR="008C1F96" w:rsidRDefault="008C1F96" w:rsidP="00FA2BA4"/>
        </w:tc>
        <w:tc>
          <w:tcPr>
            <w:tcW w:w="1843" w:type="dxa"/>
          </w:tcPr>
          <w:p w:rsidR="008C1F96" w:rsidRDefault="008C1F96" w:rsidP="00FA2BA4"/>
        </w:tc>
      </w:tr>
      <w:tr w:rsidR="008C1F96" w:rsidTr="008C1F96">
        <w:tc>
          <w:tcPr>
            <w:tcW w:w="6204" w:type="dxa"/>
          </w:tcPr>
          <w:p w:rsidR="008C1F96" w:rsidRPr="00501368" w:rsidRDefault="008C1F96" w:rsidP="00FA2BA4">
            <w:pPr>
              <w:spacing w:line="360" w:lineRule="auto"/>
              <w:rPr>
                <w:b/>
              </w:rPr>
            </w:pPr>
            <w:r>
              <w:rPr>
                <w:b/>
              </w:rPr>
              <w:t xml:space="preserve">NHDC to prepare short report on access to the examination website from 31 Dec up until 23 January 2018, addressing the list of technical issues prepared by Ms </w:t>
            </w:r>
            <w:proofErr w:type="spellStart"/>
            <w:r>
              <w:rPr>
                <w:b/>
              </w:rPr>
              <w:t>Cottier</w:t>
            </w:r>
            <w:proofErr w:type="spellEnd"/>
            <w:r>
              <w:rPr>
                <w:b/>
              </w:rPr>
              <w:t>.</w:t>
            </w:r>
          </w:p>
        </w:tc>
        <w:tc>
          <w:tcPr>
            <w:tcW w:w="1842" w:type="dxa"/>
          </w:tcPr>
          <w:p w:rsidR="008C1F96" w:rsidRDefault="00243477" w:rsidP="00FA2BA4">
            <w:r>
              <w:t>26.02.2018</w:t>
            </w:r>
          </w:p>
        </w:tc>
        <w:tc>
          <w:tcPr>
            <w:tcW w:w="1843" w:type="dxa"/>
          </w:tcPr>
          <w:p w:rsidR="008C1F96" w:rsidRDefault="00306ADE" w:rsidP="00FA2BA4">
            <w:hyperlink r:id="rId8" w:history="1">
              <w:r w:rsidR="00243477" w:rsidRPr="00306ADE">
                <w:rPr>
                  <w:rStyle w:val="Hyperlink"/>
                </w:rPr>
                <w:t>ED113</w:t>
              </w:r>
            </w:hyperlink>
          </w:p>
        </w:tc>
        <w:bookmarkStart w:id="0" w:name="_GoBack"/>
        <w:bookmarkEnd w:id="0"/>
      </w:tr>
      <w:tr w:rsidR="008C1F96" w:rsidTr="00243477">
        <w:tc>
          <w:tcPr>
            <w:tcW w:w="6204" w:type="dxa"/>
            <w:shd w:val="clear" w:color="auto" w:fill="F2F2F2" w:themeFill="background1" w:themeFillShade="F2"/>
          </w:tcPr>
          <w:p w:rsidR="008C1F96" w:rsidRPr="00501368" w:rsidRDefault="008C1F96" w:rsidP="00FA2BA4">
            <w:pPr>
              <w:spacing w:line="360" w:lineRule="auto"/>
              <w:rPr>
                <w:b/>
              </w:rPr>
            </w:pPr>
            <w:r>
              <w:rPr>
                <w:b/>
              </w:rPr>
              <w:t xml:space="preserve">NHDC to (1) replace the word “unsustainable” within its proposed amendment to Policy D4 with the word “unacceptable” and (2) to give some thought as to whether the supporting text should explain that the purpose of the final paragraph of the policy is to capture developments where it would be unreasonable to require an air pollution impact assessment. </w:t>
            </w:r>
          </w:p>
        </w:tc>
        <w:tc>
          <w:tcPr>
            <w:tcW w:w="1842" w:type="dxa"/>
            <w:shd w:val="clear" w:color="auto" w:fill="F2F2F2" w:themeFill="background1" w:themeFillShade="F2"/>
          </w:tcPr>
          <w:p w:rsidR="008C1F96" w:rsidRDefault="008C1F96" w:rsidP="00FA2BA4"/>
        </w:tc>
        <w:tc>
          <w:tcPr>
            <w:tcW w:w="1843" w:type="dxa"/>
            <w:shd w:val="clear" w:color="auto" w:fill="F2F2F2" w:themeFill="background1" w:themeFillShade="F2"/>
          </w:tcPr>
          <w:p w:rsidR="008C1F96" w:rsidRDefault="008C1F96" w:rsidP="00FA2BA4"/>
        </w:tc>
      </w:tr>
      <w:tr w:rsidR="008C1F96" w:rsidTr="008C1F96">
        <w:tc>
          <w:tcPr>
            <w:tcW w:w="6204" w:type="dxa"/>
          </w:tcPr>
          <w:p w:rsidR="008C1F96" w:rsidRPr="00501368" w:rsidRDefault="008C1F96" w:rsidP="00FA2BA4">
            <w:pPr>
              <w:spacing w:line="360" w:lineRule="auto"/>
              <w:rPr>
                <w:b/>
              </w:rPr>
            </w:pPr>
            <w:r>
              <w:rPr>
                <w:b/>
              </w:rPr>
              <w:t xml:space="preserve">NHDC to request a transcript from ESP Sound Systems of the discussion about </w:t>
            </w:r>
            <w:proofErr w:type="spellStart"/>
            <w:r>
              <w:rPr>
                <w:b/>
              </w:rPr>
              <w:t>discloseable</w:t>
            </w:r>
            <w:proofErr w:type="spellEnd"/>
            <w:r>
              <w:rPr>
                <w:b/>
              </w:rPr>
              <w:t xml:space="preserve"> pecuniary interests and provide the Inspector with a written transcript. </w:t>
            </w:r>
          </w:p>
        </w:tc>
        <w:tc>
          <w:tcPr>
            <w:tcW w:w="1842" w:type="dxa"/>
          </w:tcPr>
          <w:p w:rsidR="008C1F96" w:rsidRDefault="008C1F96" w:rsidP="00FA2BA4"/>
        </w:tc>
        <w:tc>
          <w:tcPr>
            <w:tcW w:w="1843" w:type="dxa"/>
          </w:tcPr>
          <w:p w:rsidR="008C1F96" w:rsidRDefault="008C1F96" w:rsidP="00FA2BA4"/>
        </w:tc>
      </w:tr>
    </w:tbl>
    <w:p w:rsidR="002135F0" w:rsidRDefault="002135F0" w:rsidP="008C1F96"/>
    <w:sectPr w:rsidR="002135F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81" w:rsidRDefault="00782B56">
      <w:pPr>
        <w:spacing w:after="0" w:line="240" w:lineRule="auto"/>
      </w:pPr>
      <w:r>
        <w:separator/>
      </w:r>
    </w:p>
  </w:endnote>
  <w:endnote w:type="continuationSeparator" w:id="0">
    <w:p w:rsidR="001D5681" w:rsidRDefault="0078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60025"/>
      <w:docPartObj>
        <w:docPartGallery w:val="Page Numbers (Bottom of Page)"/>
        <w:docPartUnique/>
      </w:docPartObj>
    </w:sdtPr>
    <w:sdtEndPr>
      <w:rPr>
        <w:noProof/>
      </w:rPr>
    </w:sdtEndPr>
    <w:sdtContent>
      <w:p w:rsidR="00952C5D" w:rsidRDefault="00EA4C68">
        <w:pPr>
          <w:pStyle w:val="Footer"/>
          <w:jc w:val="center"/>
        </w:pPr>
        <w:r>
          <w:fldChar w:fldCharType="begin"/>
        </w:r>
        <w:r>
          <w:instrText xml:space="preserve"> PAGE   \* MERGEFORMAT </w:instrText>
        </w:r>
        <w:r>
          <w:fldChar w:fldCharType="separate"/>
        </w:r>
        <w:r w:rsidR="00306ADE">
          <w:rPr>
            <w:noProof/>
          </w:rPr>
          <w:t>1</w:t>
        </w:r>
        <w:r>
          <w:rPr>
            <w:noProof/>
          </w:rPr>
          <w:fldChar w:fldCharType="end"/>
        </w:r>
      </w:p>
    </w:sdtContent>
  </w:sdt>
  <w:p w:rsidR="00952C5D" w:rsidRDefault="00306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81" w:rsidRDefault="00782B56">
      <w:pPr>
        <w:spacing w:after="0" w:line="240" w:lineRule="auto"/>
      </w:pPr>
      <w:r>
        <w:separator/>
      </w:r>
    </w:p>
  </w:footnote>
  <w:footnote w:type="continuationSeparator" w:id="0">
    <w:p w:rsidR="001D5681" w:rsidRDefault="0078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4D" w:rsidRDefault="00EA4C68">
    <w:pPr>
      <w:pStyle w:val="Header"/>
    </w:pPr>
    <w:r>
      <w:t>NORTH HERTFORDSHIRE DISTRICT COUNCIL LOCAL PLAN EXAMINATION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2FC"/>
    <w:multiLevelType w:val="hybridMultilevel"/>
    <w:tmpl w:val="B674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6FEE"/>
    <w:multiLevelType w:val="hybridMultilevel"/>
    <w:tmpl w:val="DFE85F7C"/>
    <w:lvl w:ilvl="0" w:tplc="44583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C1F19"/>
    <w:multiLevelType w:val="hybridMultilevel"/>
    <w:tmpl w:val="6FF4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43E87"/>
    <w:multiLevelType w:val="hybridMultilevel"/>
    <w:tmpl w:val="9DE4BFC0"/>
    <w:lvl w:ilvl="0" w:tplc="D84C8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3215D"/>
    <w:multiLevelType w:val="hybridMultilevel"/>
    <w:tmpl w:val="407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208B2"/>
    <w:multiLevelType w:val="hybridMultilevel"/>
    <w:tmpl w:val="708E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624EB"/>
    <w:multiLevelType w:val="hybridMultilevel"/>
    <w:tmpl w:val="2B14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64E5D"/>
    <w:multiLevelType w:val="hybridMultilevel"/>
    <w:tmpl w:val="22C0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208AB"/>
    <w:multiLevelType w:val="hybridMultilevel"/>
    <w:tmpl w:val="018C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E3C6E"/>
    <w:multiLevelType w:val="hybridMultilevel"/>
    <w:tmpl w:val="0F56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33C4A"/>
    <w:multiLevelType w:val="hybridMultilevel"/>
    <w:tmpl w:val="9A843EB6"/>
    <w:lvl w:ilvl="0" w:tplc="E50A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E23A7"/>
    <w:multiLevelType w:val="hybridMultilevel"/>
    <w:tmpl w:val="35427E56"/>
    <w:lvl w:ilvl="0" w:tplc="AA3E8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9D45D7"/>
    <w:multiLevelType w:val="hybridMultilevel"/>
    <w:tmpl w:val="08A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C031E"/>
    <w:multiLevelType w:val="hybridMultilevel"/>
    <w:tmpl w:val="7D7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D105C"/>
    <w:multiLevelType w:val="hybridMultilevel"/>
    <w:tmpl w:val="9032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059B6"/>
    <w:multiLevelType w:val="hybridMultilevel"/>
    <w:tmpl w:val="E74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26CF2"/>
    <w:multiLevelType w:val="hybridMultilevel"/>
    <w:tmpl w:val="AFB8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E5AFD"/>
    <w:multiLevelType w:val="hybridMultilevel"/>
    <w:tmpl w:val="EE1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311F5F"/>
    <w:multiLevelType w:val="hybridMultilevel"/>
    <w:tmpl w:val="5556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D473B"/>
    <w:multiLevelType w:val="hybridMultilevel"/>
    <w:tmpl w:val="F8F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B37A3"/>
    <w:multiLevelType w:val="hybridMultilevel"/>
    <w:tmpl w:val="5E9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C00273"/>
    <w:multiLevelType w:val="hybridMultilevel"/>
    <w:tmpl w:val="4EC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8F208D"/>
    <w:multiLevelType w:val="hybridMultilevel"/>
    <w:tmpl w:val="048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694CCF"/>
    <w:multiLevelType w:val="hybridMultilevel"/>
    <w:tmpl w:val="9BF2305A"/>
    <w:lvl w:ilvl="0" w:tplc="0C2C5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1C2287"/>
    <w:multiLevelType w:val="hybridMultilevel"/>
    <w:tmpl w:val="A714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A51861"/>
    <w:multiLevelType w:val="hybridMultilevel"/>
    <w:tmpl w:val="E63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1788B"/>
    <w:multiLevelType w:val="hybridMultilevel"/>
    <w:tmpl w:val="6474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270909"/>
    <w:multiLevelType w:val="hybridMultilevel"/>
    <w:tmpl w:val="4CA0FCB4"/>
    <w:lvl w:ilvl="0" w:tplc="164A9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B5536F"/>
    <w:multiLevelType w:val="hybridMultilevel"/>
    <w:tmpl w:val="2F10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4B2BED"/>
    <w:multiLevelType w:val="hybridMultilevel"/>
    <w:tmpl w:val="C57A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B0115B"/>
    <w:multiLevelType w:val="hybridMultilevel"/>
    <w:tmpl w:val="21C0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032240"/>
    <w:multiLevelType w:val="hybridMultilevel"/>
    <w:tmpl w:val="660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E9620B"/>
    <w:multiLevelType w:val="hybridMultilevel"/>
    <w:tmpl w:val="3208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6"/>
  </w:num>
  <w:num w:numId="4">
    <w:abstractNumId w:val="21"/>
  </w:num>
  <w:num w:numId="5">
    <w:abstractNumId w:val="17"/>
  </w:num>
  <w:num w:numId="6">
    <w:abstractNumId w:val="20"/>
  </w:num>
  <w:num w:numId="7">
    <w:abstractNumId w:val="29"/>
  </w:num>
  <w:num w:numId="8">
    <w:abstractNumId w:val="32"/>
  </w:num>
  <w:num w:numId="9">
    <w:abstractNumId w:val="31"/>
  </w:num>
  <w:num w:numId="10">
    <w:abstractNumId w:val="8"/>
  </w:num>
  <w:num w:numId="11">
    <w:abstractNumId w:val="4"/>
  </w:num>
  <w:num w:numId="12">
    <w:abstractNumId w:val="18"/>
  </w:num>
  <w:num w:numId="13">
    <w:abstractNumId w:val="24"/>
  </w:num>
  <w:num w:numId="14">
    <w:abstractNumId w:val="22"/>
  </w:num>
  <w:num w:numId="15">
    <w:abstractNumId w:val="3"/>
  </w:num>
  <w:num w:numId="16">
    <w:abstractNumId w:val="30"/>
  </w:num>
  <w:num w:numId="17">
    <w:abstractNumId w:val="28"/>
  </w:num>
  <w:num w:numId="18">
    <w:abstractNumId w:val="0"/>
  </w:num>
  <w:num w:numId="19">
    <w:abstractNumId w:val="6"/>
  </w:num>
  <w:num w:numId="20">
    <w:abstractNumId w:val="12"/>
  </w:num>
  <w:num w:numId="21">
    <w:abstractNumId w:val="25"/>
  </w:num>
  <w:num w:numId="22">
    <w:abstractNumId w:val="19"/>
  </w:num>
  <w:num w:numId="23">
    <w:abstractNumId w:val="9"/>
  </w:num>
  <w:num w:numId="24">
    <w:abstractNumId w:val="13"/>
  </w:num>
  <w:num w:numId="25">
    <w:abstractNumId w:val="15"/>
  </w:num>
  <w:num w:numId="26">
    <w:abstractNumId w:val="14"/>
  </w:num>
  <w:num w:numId="27">
    <w:abstractNumId w:val="2"/>
  </w:num>
  <w:num w:numId="28">
    <w:abstractNumId w:val="16"/>
  </w:num>
  <w:num w:numId="29">
    <w:abstractNumId w:val="23"/>
  </w:num>
  <w:num w:numId="30">
    <w:abstractNumId w:val="27"/>
  </w:num>
  <w:num w:numId="31">
    <w:abstractNumId w:val="11"/>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EC"/>
    <w:rsid w:val="000231A5"/>
    <w:rsid w:val="00032329"/>
    <w:rsid w:val="00041BF6"/>
    <w:rsid w:val="00057C10"/>
    <w:rsid w:val="00061617"/>
    <w:rsid w:val="000742D3"/>
    <w:rsid w:val="00080387"/>
    <w:rsid w:val="00082B69"/>
    <w:rsid w:val="00091326"/>
    <w:rsid w:val="000C0BFE"/>
    <w:rsid w:val="000C5FD2"/>
    <w:rsid w:val="000F0C9D"/>
    <w:rsid w:val="000F1125"/>
    <w:rsid w:val="00117DF4"/>
    <w:rsid w:val="00120A9A"/>
    <w:rsid w:val="00143B03"/>
    <w:rsid w:val="00193CBA"/>
    <w:rsid w:val="001B6EBC"/>
    <w:rsid w:val="001C7020"/>
    <w:rsid w:val="001D5681"/>
    <w:rsid w:val="001F1E4C"/>
    <w:rsid w:val="00201524"/>
    <w:rsid w:val="002030B1"/>
    <w:rsid w:val="002135F0"/>
    <w:rsid w:val="0022757E"/>
    <w:rsid w:val="00227915"/>
    <w:rsid w:val="002410EC"/>
    <w:rsid w:val="00243477"/>
    <w:rsid w:val="00264F2A"/>
    <w:rsid w:val="00274049"/>
    <w:rsid w:val="0027778E"/>
    <w:rsid w:val="0029226B"/>
    <w:rsid w:val="002C5011"/>
    <w:rsid w:val="002C7392"/>
    <w:rsid w:val="002E291B"/>
    <w:rsid w:val="002E71E7"/>
    <w:rsid w:val="00302EA7"/>
    <w:rsid w:val="00306ADE"/>
    <w:rsid w:val="003223FA"/>
    <w:rsid w:val="00331397"/>
    <w:rsid w:val="00343192"/>
    <w:rsid w:val="00343E17"/>
    <w:rsid w:val="0039481B"/>
    <w:rsid w:val="003A7936"/>
    <w:rsid w:val="003B470C"/>
    <w:rsid w:val="003E340D"/>
    <w:rsid w:val="003F0931"/>
    <w:rsid w:val="004206E5"/>
    <w:rsid w:val="004452F9"/>
    <w:rsid w:val="004479A8"/>
    <w:rsid w:val="0045593D"/>
    <w:rsid w:val="00480730"/>
    <w:rsid w:val="004857AD"/>
    <w:rsid w:val="004936A7"/>
    <w:rsid w:val="004A656C"/>
    <w:rsid w:val="004C3127"/>
    <w:rsid w:val="004C6BA3"/>
    <w:rsid w:val="004E34F1"/>
    <w:rsid w:val="004E6D98"/>
    <w:rsid w:val="00517FE4"/>
    <w:rsid w:val="005264D9"/>
    <w:rsid w:val="005543A3"/>
    <w:rsid w:val="00556C4B"/>
    <w:rsid w:val="00570D6C"/>
    <w:rsid w:val="0059393B"/>
    <w:rsid w:val="00593B82"/>
    <w:rsid w:val="00595B7F"/>
    <w:rsid w:val="00597683"/>
    <w:rsid w:val="005A275D"/>
    <w:rsid w:val="005C3BD6"/>
    <w:rsid w:val="005C583A"/>
    <w:rsid w:val="005C6389"/>
    <w:rsid w:val="005D53D5"/>
    <w:rsid w:val="005D5911"/>
    <w:rsid w:val="005D7A9A"/>
    <w:rsid w:val="005F0A18"/>
    <w:rsid w:val="005F1031"/>
    <w:rsid w:val="0060005A"/>
    <w:rsid w:val="00604C44"/>
    <w:rsid w:val="00620014"/>
    <w:rsid w:val="006367FB"/>
    <w:rsid w:val="00647684"/>
    <w:rsid w:val="006558D2"/>
    <w:rsid w:val="00656FEA"/>
    <w:rsid w:val="006604CC"/>
    <w:rsid w:val="006608C7"/>
    <w:rsid w:val="00665831"/>
    <w:rsid w:val="0067695F"/>
    <w:rsid w:val="00680D7E"/>
    <w:rsid w:val="006A299C"/>
    <w:rsid w:val="00705FD0"/>
    <w:rsid w:val="007237DF"/>
    <w:rsid w:val="007306ED"/>
    <w:rsid w:val="00730C31"/>
    <w:rsid w:val="0074211D"/>
    <w:rsid w:val="00747323"/>
    <w:rsid w:val="00782B56"/>
    <w:rsid w:val="007846D0"/>
    <w:rsid w:val="00795D70"/>
    <w:rsid w:val="007A0D85"/>
    <w:rsid w:val="007C75EA"/>
    <w:rsid w:val="007C7A9F"/>
    <w:rsid w:val="00806FFF"/>
    <w:rsid w:val="008131F8"/>
    <w:rsid w:val="008304BA"/>
    <w:rsid w:val="00835810"/>
    <w:rsid w:val="00892CC7"/>
    <w:rsid w:val="008B3415"/>
    <w:rsid w:val="008C066C"/>
    <w:rsid w:val="008C1F96"/>
    <w:rsid w:val="008D7CF1"/>
    <w:rsid w:val="00903390"/>
    <w:rsid w:val="00925114"/>
    <w:rsid w:val="009336F1"/>
    <w:rsid w:val="00941633"/>
    <w:rsid w:val="0096247C"/>
    <w:rsid w:val="00982AD0"/>
    <w:rsid w:val="00987F49"/>
    <w:rsid w:val="00995676"/>
    <w:rsid w:val="009D42A5"/>
    <w:rsid w:val="009E10E1"/>
    <w:rsid w:val="009E3291"/>
    <w:rsid w:val="009E3A92"/>
    <w:rsid w:val="00A14642"/>
    <w:rsid w:val="00A23FA1"/>
    <w:rsid w:val="00A3173B"/>
    <w:rsid w:val="00A36B93"/>
    <w:rsid w:val="00A424CC"/>
    <w:rsid w:val="00A563A4"/>
    <w:rsid w:val="00A64EAE"/>
    <w:rsid w:val="00A950A8"/>
    <w:rsid w:val="00A95B74"/>
    <w:rsid w:val="00A97C81"/>
    <w:rsid w:val="00AA259D"/>
    <w:rsid w:val="00AC6C03"/>
    <w:rsid w:val="00AC78ED"/>
    <w:rsid w:val="00AE7D28"/>
    <w:rsid w:val="00B001BA"/>
    <w:rsid w:val="00B16EB2"/>
    <w:rsid w:val="00B30719"/>
    <w:rsid w:val="00B61269"/>
    <w:rsid w:val="00B61F25"/>
    <w:rsid w:val="00B67E87"/>
    <w:rsid w:val="00BA04B6"/>
    <w:rsid w:val="00BA5DD2"/>
    <w:rsid w:val="00BC562C"/>
    <w:rsid w:val="00BD1012"/>
    <w:rsid w:val="00BD4EF5"/>
    <w:rsid w:val="00C11471"/>
    <w:rsid w:val="00C17424"/>
    <w:rsid w:val="00C17E0D"/>
    <w:rsid w:val="00C50B91"/>
    <w:rsid w:val="00C56EBD"/>
    <w:rsid w:val="00CA37BE"/>
    <w:rsid w:val="00CA5DB9"/>
    <w:rsid w:val="00CC5337"/>
    <w:rsid w:val="00CE0AC9"/>
    <w:rsid w:val="00D164C6"/>
    <w:rsid w:val="00D17996"/>
    <w:rsid w:val="00D20EF9"/>
    <w:rsid w:val="00D34713"/>
    <w:rsid w:val="00D67017"/>
    <w:rsid w:val="00D76BD1"/>
    <w:rsid w:val="00D76E0C"/>
    <w:rsid w:val="00D851F3"/>
    <w:rsid w:val="00DA5F5F"/>
    <w:rsid w:val="00DB3274"/>
    <w:rsid w:val="00DC3341"/>
    <w:rsid w:val="00DC7FCD"/>
    <w:rsid w:val="00DD12BF"/>
    <w:rsid w:val="00DD69A2"/>
    <w:rsid w:val="00DE158B"/>
    <w:rsid w:val="00DE18D5"/>
    <w:rsid w:val="00DE49E9"/>
    <w:rsid w:val="00E032E8"/>
    <w:rsid w:val="00E27DCF"/>
    <w:rsid w:val="00E35C8A"/>
    <w:rsid w:val="00E80C4F"/>
    <w:rsid w:val="00E87081"/>
    <w:rsid w:val="00EA4C68"/>
    <w:rsid w:val="00EB63B2"/>
    <w:rsid w:val="00EC51CD"/>
    <w:rsid w:val="00ED3B53"/>
    <w:rsid w:val="00ED67F7"/>
    <w:rsid w:val="00EF0571"/>
    <w:rsid w:val="00EF0C1E"/>
    <w:rsid w:val="00EF5977"/>
    <w:rsid w:val="00F04CB1"/>
    <w:rsid w:val="00F154B6"/>
    <w:rsid w:val="00F2753F"/>
    <w:rsid w:val="00F30FB4"/>
    <w:rsid w:val="00F34DAC"/>
    <w:rsid w:val="00F470AA"/>
    <w:rsid w:val="00FA2BA4"/>
    <w:rsid w:val="00FA4461"/>
    <w:rsid w:val="00FA6C94"/>
    <w:rsid w:val="00FB5204"/>
    <w:rsid w:val="00FD799F"/>
    <w:rsid w:val="00FF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306A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306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files/ed113-matter-21-ed95-nhdc-letter-carolyn-cottier-re-lpe-data-availabilit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Daly</dc:creator>
  <cp:lastModifiedBy>Tina Lilley</cp:lastModifiedBy>
  <cp:revision>2</cp:revision>
  <dcterms:created xsi:type="dcterms:W3CDTF">2018-03-15T10:35:00Z</dcterms:created>
  <dcterms:modified xsi:type="dcterms:W3CDTF">2018-03-15T10:35:00Z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-1782829707</vt:i4>
  </property>
</Properties>
</file>