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EC" w:rsidRDefault="002410EC" w:rsidP="002410EC">
      <w:pPr>
        <w:jc w:val="center"/>
        <w:rPr>
          <w:sz w:val="28"/>
          <w:szCs w:val="28"/>
          <w:u w:val="single"/>
        </w:rPr>
      </w:pPr>
      <w:r w:rsidRPr="000C413A">
        <w:rPr>
          <w:sz w:val="28"/>
          <w:szCs w:val="28"/>
          <w:u w:val="single"/>
        </w:rPr>
        <w:t>Table of Actions</w:t>
      </w:r>
      <w:r w:rsidR="00E06981">
        <w:rPr>
          <w:sz w:val="28"/>
          <w:szCs w:val="28"/>
          <w:u w:val="single"/>
        </w:rPr>
        <w:t xml:space="preserve"> – Week 4</w:t>
      </w:r>
    </w:p>
    <w:p w:rsidR="00E06981" w:rsidRPr="000C413A" w:rsidRDefault="00E06981" w:rsidP="002410EC">
      <w:pPr>
        <w:jc w:val="center"/>
        <w:rPr>
          <w:sz w:val="28"/>
          <w:szCs w:val="28"/>
          <w:u w:val="single"/>
        </w:rPr>
      </w:pPr>
      <w:r>
        <w:rPr>
          <w:sz w:val="28"/>
          <w:szCs w:val="28"/>
          <w:u w:val="single"/>
        </w:rPr>
        <w:t>Matters 13, 14 &amp; 18</w:t>
      </w:r>
    </w:p>
    <w:p w:rsidR="002376FC" w:rsidRDefault="002376FC" w:rsidP="002376FC">
      <w:pPr>
        <w:rPr>
          <w:rFonts w:eastAsia="Times New Roman" w:cs="Times New Roman"/>
        </w:rPr>
      </w:pPr>
      <w:r>
        <w:rPr>
          <w:rFonts w:eastAsia="Times New Roman" w:cs="Times New Roman"/>
        </w:rPr>
        <w:t xml:space="preserve">Local Plan Examination actions as requested by the Inspector are shown in the tables below.  </w:t>
      </w:r>
      <w:bookmarkStart w:id="0" w:name="_GoBack"/>
      <w:bookmarkEnd w:id="0"/>
    </w:p>
    <w:p w:rsidR="002376FC" w:rsidRDefault="002376FC" w:rsidP="002376FC">
      <w:pPr>
        <w:rPr>
          <w:rFonts w:eastAsia="Times New Roman" w:cs="Times New Roman"/>
        </w:rPr>
      </w:pPr>
      <w:r>
        <w:rPr>
          <w:rFonts w:eastAsia="Times New Roman" w:cs="Times New Roman"/>
        </w:rPr>
        <w:t>Where appropriate there are links to the relevant Examination Documents.</w:t>
      </w:r>
    </w:p>
    <w:p w:rsidR="002376FC" w:rsidRDefault="002376FC" w:rsidP="002376FC">
      <w:pPr>
        <w:rPr>
          <w:rFonts w:eastAsia="Times New Roman" w:cs="Times New Roman"/>
        </w:rPr>
      </w:pPr>
      <w:r>
        <w:rPr>
          <w:rFonts w:eastAsia="Times New Roman" w:cs="Times New Roman"/>
        </w:rPr>
        <w:t xml:space="preserve">Actions which are shaded pale grey in the tables include proposed main modifications.  These will be added to the website in due course.  </w:t>
      </w:r>
    </w:p>
    <w:p w:rsidR="00057C10" w:rsidRDefault="00057C10"/>
    <w:tbl>
      <w:tblPr>
        <w:tblStyle w:val="TableGrid"/>
        <w:tblW w:w="9747" w:type="dxa"/>
        <w:tblLook w:val="04A0" w:firstRow="1" w:lastRow="0" w:firstColumn="1" w:lastColumn="0" w:noHBand="0" w:noVBand="1"/>
      </w:tblPr>
      <w:tblGrid>
        <w:gridCol w:w="5920"/>
        <w:gridCol w:w="1985"/>
        <w:gridCol w:w="1842"/>
      </w:tblGrid>
      <w:tr w:rsidR="00E06981" w:rsidTr="006A5CCB">
        <w:trPr>
          <w:tblHeader/>
        </w:trPr>
        <w:tc>
          <w:tcPr>
            <w:tcW w:w="9747" w:type="dxa"/>
            <w:gridSpan w:val="3"/>
            <w:shd w:val="clear" w:color="auto" w:fill="BDD6EE" w:themeFill="accent1" w:themeFillTint="66"/>
          </w:tcPr>
          <w:p w:rsidR="00E06981" w:rsidRDefault="00E06981" w:rsidP="00057C10">
            <w:r>
              <w:t xml:space="preserve">Matter 13 </w:t>
            </w:r>
            <w:r w:rsidR="002376FC">
              <w:t>– Economic Development</w:t>
            </w:r>
          </w:p>
        </w:tc>
      </w:tr>
      <w:tr w:rsidR="00E06981" w:rsidTr="00E06981">
        <w:trPr>
          <w:tblHeader/>
        </w:trPr>
        <w:tc>
          <w:tcPr>
            <w:tcW w:w="5920" w:type="dxa"/>
            <w:shd w:val="clear" w:color="auto" w:fill="000000" w:themeFill="text1"/>
          </w:tcPr>
          <w:p w:rsidR="00E06981" w:rsidRPr="002376FC" w:rsidRDefault="00E06981" w:rsidP="00095164">
            <w:pPr>
              <w:rPr>
                <w:b/>
              </w:rPr>
            </w:pPr>
            <w:r w:rsidRPr="002376FC">
              <w:rPr>
                <w:b/>
              </w:rPr>
              <w:t>Action</w:t>
            </w:r>
          </w:p>
        </w:tc>
        <w:tc>
          <w:tcPr>
            <w:tcW w:w="1985" w:type="dxa"/>
            <w:shd w:val="clear" w:color="auto" w:fill="000000" w:themeFill="text1"/>
          </w:tcPr>
          <w:p w:rsidR="00E06981" w:rsidRPr="002376FC" w:rsidRDefault="00E06981" w:rsidP="00095164">
            <w:pPr>
              <w:rPr>
                <w:b/>
              </w:rPr>
            </w:pPr>
            <w:r w:rsidRPr="002376FC">
              <w:rPr>
                <w:b/>
              </w:rPr>
              <w:t>Date on which Action Completed</w:t>
            </w:r>
          </w:p>
        </w:tc>
        <w:tc>
          <w:tcPr>
            <w:tcW w:w="1842" w:type="dxa"/>
            <w:shd w:val="clear" w:color="auto" w:fill="000000" w:themeFill="text1"/>
          </w:tcPr>
          <w:p w:rsidR="00E06981" w:rsidRPr="002376FC" w:rsidRDefault="00E06981" w:rsidP="00E06981">
            <w:pPr>
              <w:rPr>
                <w:b/>
              </w:rPr>
            </w:pPr>
            <w:r w:rsidRPr="002376FC">
              <w:rPr>
                <w:b/>
              </w:rPr>
              <w:t>Examination Doc</w:t>
            </w:r>
          </w:p>
          <w:p w:rsidR="00E06981" w:rsidRPr="002376FC" w:rsidRDefault="00E06981" w:rsidP="00E06981">
            <w:pPr>
              <w:rPr>
                <w:b/>
              </w:rPr>
            </w:pPr>
            <w:r w:rsidRPr="002376FC">
              <w:rPr>
                <w:b/>
              </w:rPr>
              <w:t>Reference No.</w:t>
            </w:r>
          </w:p>
        </w:tc>
      </w:tr>
      <w:tr w:rsidR="00E06981" w:rsidTr="002376FC">
        <w:tc>
          <w:tcPr>
            <w:tcW w:w="5920" w:type="dxa"/>
            <w:shd w:val="clear" w:color="auto" w:fill="F2F2F2" w:themeFill="background1" w:themeFillShade="F2"/>
          </w:tcPr>
          <w:p w:rsidR="00E06981" w:rsidRDefault="00E06981" w:rsidP="00057C10">
            <w:pPr>
              <w:spacing w:line="360" w:lineRule="auto"/>
              <w:rPr>
                <w:b/>
              </w:rPr>
            </w:pPr>
            <w:r>
              <w:rPr>
                <w:b/>
              </w:rPr>
              <w:t>NHDC to propose amendments to Policy SP3 as follows:</w:t>
            </w:r>
          </w:p>
          <w:p w:rsidR="00E06981" w:rsidRDefault="00E06981" w:rsidP="00057C10">
            <w:pPr>
              <w:pStyle w:val="ListParagraph"/>
              <w:numPr>
                <w:ilvl w:val="0"/>
                <w:numId w:val="23"/>
              </w:numPr>
              <w:spacing w:line="360" w:lineRule="auto"/>
              <w:rPr>
                <w:b/>
              </w:rPr>
            </w:pPr>
            <w:r>
              <w:rPr>
                <w:b/>
              </w:rPr>
              <w:t>Reconsider proposed wording of SP3(a) to take account of fact that NHDC is seeking to ensure that the needs of the FEMA sub-area are met rather than make provision towards “unmet needs”</w:t>
            </w:r>
          </w:p>
          <w:p w:rsidR="00E06981" w:rsidRDefault="00E06981" w:rsidP="00057C10">
            <w:pPr>
              <w:pStyle w:val="ListParagraph"/>
              <w:numPr>
                <w:ilvl w:val="0"/>
                <w:numId w:val="23"/>
              </w:numPr>
              <w:spacing w:line="360" w:lineRule="auto"/>
              <w:rPr>
                <w:b/>
              </w:rPr>
            </w:pPr>
            <w:r>
              <w:rPr>
                <w:b/>
              </w:rPr>
              <w:t>Remove Letchworth power station from SP3(c). Ensure that it is included as safeguarded employment area in policies map and that any other consequential changes to Plan are made</w:t>
            </w:r>
          </w:p>
          <w:p w:rsidR="00E06981" w:rsidRDefault="00E06981" w:rsidP="00057C10">
            <w:pPr>
              <w:pStyle w:val="ListParagraph"/>
              <w:numPr>
                <w:ilvl w:val="0"/>
                <w:numId w:val="23"/>
              </w:numPr>
              <w:spacing w:line="360" w:lineRule="auto"/>
              <w:rPr>
                <w:b/>
              </w:rPr>
            </w:pPr>
            <w:r>
              <w:rPr>
                <w:b/>
              </w:rPr>
              <w:t xml:space="preserve">Amend SP3(c) to read “Support additional employment provision through </w:t>
            </w:r>
            <w:r w:rsidRPr="002D2104">
              <w:rPr>
                <w:b/>
                <w:u w:val="single"/>
              </w:rPr>
              <w:t>the</w:t>
            </w:r>
            <w:r>
              <w:rPr>
                <w:b/>
              </w:rPr>
              <w:t xml:space="preserve"> new allocations on the policies map as designations at…”</w:t>
            </w:r>
          </w:p>
          <w:p w:rsidR="00E06981" w:rsidRDefault="00E06981" w:rsidP="00057C10">
            <w:pPr>
              <w:pStyle w:val="ListParagraph"/>
              <w:numPr>
                <w:ilvl w:val="0"/>
                <w:numId w:val="23"/>
              </w:numPr>
              <w:spacing w:line="360" w:lineRule="auto"/>
              <w:rPr>
                <w:b/>
              </w:rPr>
            </w:pPr>
            <w:r>
              <w:rPr>
                <w:b/>
              </w:rPr>
              <w:t xml:space="preserve">Amend SP3(b) to read “Within the District’s main settlements the Employment Areas </w:t>
            </w:r>
            <w:r w:rsidRPr="002D2104">
              <w:rPr>
                <w:b/>
                <w:u w:val="single"/>
              </w:rPr>
              <w:t>shown</w:t>
            </w:r>
            <w:r>
              <w:rPr>
                <w:b/>
              </w:rPr>
              <w:t xml:space="preserve"> on the Policies Map will be safeguarded to enhance their employment potential…”</w:t>
            </w:r>
          </w:p>
          <w:p w:rsidR="00E06981" w:rsidRPr="003C7297" w:rsidRDefault="00E06981" w:rsidP="00057C10">
            <w:pPr>
              <w:pStyle w:val="ListParagraph"/>
              <w:numPr>
                <w:ilvl w:val="0"/>
                <w:numId w:val="23"/>
              </w:numPr>
              <w:spacing w:line="360" w:lineRule="auto"/>
              <w:rPr>
                <w:b/>
              </w:rPr>
            </w:pPr>
            <w:r>
              <w:rPr>
                <w:b/>
              </w:rPr>
              <w:t xml:space="preserve">Remove Business Areas from policies map to reflect </w:t>
            </w:r>
            <w:proofErr w:type="spellStart"/>
            <w:r>
              <w:rPr>
                <w:b/>
              </w:rPr>
              <w:t>MoU</w:t>
            </w:r>
            <w:proofErr w:type="spellEnd"/>
            <w:r>
              <w:rPr>
                <w:b/>
              </w:rPr>
              <w:t xml:space="preserve"> amendments</w:t>
            </w:r>
          </w:p>
        </w:tc>
        <w:tc>
          <w:tcPr>
            <w:tcW w:w="198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5920" w:type="dxa"/>
            <w:shd w:val="clear" w:color="auto" w:fill="F2F2F2" w:themeFill="background1" w:themeFillShade="F2"/>
          </w:tcPr>
          <w:p w:rsidR="00E06981" w:rsidRDefault="00E06981" w:rsidP="00057C10">
            <w:pPr>
              <w:spacing w:line="360" w:lineRule="auto"/>
              <w:rPr>
                <w:b/>
              </w:rPr>
            </w:pPr>
            <w:r>
              <w:rPr>
                <w:b/>
              </w:rPr>
              <w:t>NHDC to propose amendments to Policy ETC1 as follows:</w:t>
            </w:r>
          </w:p>
          <w:p w:rsidR="00E06981" w:rsidRDefault="00E06981" w:rsidP="00057C10">
            <w:pPr>
              <w:pStyle w:val="ListParagraph"/>
              <w:numPr>
                <w:ilvl w:val="0"/>
                <w:numId w:val="24"/>
              </w:numPr>
              <w:spacing w:line="360" w:lineRule="auto"/>
              <w:rPr>
                <w:b/>
              </w:rPr>
            </w:pPr>
            <w:r>
              <w:rPr>
                <w:b/>
              </w:rPr>
              <w:t>Amend ETC1(c) to read “For allocated employment sites, any relevant site specific criteria are met”</w:t>
            </w:r>
          </w:p>
          <w:p w:rsidR="00E06981" w:rsidRPr="003C7297" w:rsidRDefault="00E06981" w:rsidP="00057C10">
            <w:pPr>
              <w:pStyle w:val="ListParagraph"/>
              <w:numPr>
                <w:ilvl w:val="0"/>
                <w:numId w:val="24"/>
              </w:numPr>
              <w:spacing w:line="360" w:lineRule="auto"/>
              <w:rPr>
                <w:b/>
              </w:rPr>
            </w:pPr>
            <w:r>
              <w:rPr>
                <w:b/>
              </w:rPr>
              <w:t xml:space="preserve">Amend policy to read “Planning permission for other </w:t>
            </w:r>
            <w:r w:rsidRPr="000F587F">
              <w:rPr>
                <w:b/>
                <w:u w:val="single"/>
              </w:rPr>
              <w:t>employment-generating</w:t>
            </w:r>
            <w:r>
              <w:rPr>
                <w:b/>
              </w:rPr>
              <w:t xml:space="preserve"> uses will be granted…”</w:t>
            </w:r>
          </w:p>
        </w:tc>
        <w:tc>
          <w:tcPr>
            <w:tcW w:w="198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5920" w:type="dxa"/>
            <w:shd w:val="clear" w:color="auto" w:fill="F2F2F2" w:themeFill="background1" w:themeFillShade="F2"/>
          </w:tcPr>
          <w:p w:rsidR="00E06981" w:rsidRDefault="00E06981" w:rsidP="00057C10">
            <w:pPr>
              <w:spacing w:line="360" w:lineRule="auto"/>
              <w:rPr>
                <w:b/>
              </w:rPr>
            </w:pPr>
            <w:r>
              <w:rPr>
                <w:b/>
              </w:rPr>
              <w:t>NHDC to propose amendments to Policy ETC2 as follows:</w:t>
            </w:r>
          </w:p>
          <w:p w:rsidR="00E06981" w:rsidRDefault="00E06981" w:rsidP="00057C10">
            <w:pPr>
              <w:pStyle w:val="ListParagraph"/>
              <w:numPr>
                <w:ilvl w:val="0"/>
                <w:numId w:val="25"/>
              </w:numPr>
              <w:spacing w:line="360" w:lineRule="auto"/>
              <w:rPr>
                <w:b/>
              </w:rPr>
            </w:pPr>
            <w:r>
              <w:rPr>
                <w:b/>
              </w:rPr>
              <w:lastRenderedPageBreak/>
              <w:t>Remove criterion (a)</w:t>
            </w:r>
          </w:p>
          <w:p w:rsidR="00E06981" w:rsidRDefault="00E06981" w:rsidP="00057C10">
            <w:pPr>
              <w:pStyle w:val="ListParagraph"/>
              <w:numPr>
                <w:ilvl w:val="0"/>
                <w:numId w:val="25"/>
              </w:numPr>
              <w:spacing w:line="360" w:lineRule="auto"/>
              <w:rPr>
                <w:b/>
              </w:rPr>
            </w:pPr>
            <w:r>
              <w:rPr>
                <w:b/>
              </w:rPr>
              <w:t xml:space="preserve">Reconsider criteria (b)-(d) in the context of settlement boundaries </w:t>
            </w:r>
          </w:p>
          <w:p w:rsidR="00E06981" w:rsidRDefault="00E06981" w:rsidP="00057C10">
            <w:pPr>
              <w:pStyle w:val="ListParagraph"/>
              <w:numPr>
                <w:ilvl w:val="0"/>
                <w:numId w:val="25"/>
              </w:numPr>
              <w:spacing w:line="360" w:lineRule="auto"/>
              <w:rPr>
                <w:b/>
              </w:rPr>
            </w:pPr>
            <w:r>
              <w:rPr>
                <w:b/>
              </w:rPr>
              <w:t>In respect of criterion (</w:t>
            </w:r>
            <w:proofErr w:type="spellStart"/>
            <w:r>
              <w:rPr>
                <w:b/>
              </w:rPr>
              <w:t>i</w:t>
            </w:r>
            <w:proofErr w:type="spellEnd"/>
            <w:r>
              <w:rPr>
                <w:b/>
              </w:rPr>
              <w:t>) consider what potential applicants ought to be asked to do regarding e.g. marketing periods</w:t>
            </w:r>
          </w:p>
          <w:p w:rsidR="00E06981" w:rsidRPr="000F587F" w:rsidRDefault="00E06981" w:rsidP="00057C10">
            <w:pPr>
              <w:pStyle w:val="ListParagraph"/>
              <w:numPr>
                <w:ilvl w:val="0"/>
                <w:numId w:val="25"/>
              </w:numPr>
              <w:spacing w:line="360" w:lineRule="auto"/>
              <w:rPr>
                <w:b/>
              </w:rPr>
            </w:pPr>
            <w:r>
              <w:rPr>
                <w:b/>
              </w:rPr>
              <w:t>Amend policy to refer to “outside of allocated Employment Areas and allocated Employment Sites BA10 and RY9”</w:t>
            </w:r>
          </w:p>
        </w:tc>
        <w:tc>
          <w:tcPr>
            <w:tcW w:w="198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rPr>
          <w:cantSplit/>
        </w:trPr>
        <w:tc>
          <w:tcPr>
            <w:tcW w:w="5920" w:type="dxa"/>
            <w:shd w:val="clear" w:color="auto" w:fill="F2F2F2" w:themeFill="background1" w:themeFillShade="F2"/>
          </w:tcPr>
          <w:p w:rsidR="00E06981" w:rsidRDefault="00E06981" w:rsidP="00057C10">
            <w:pPr>
              <w:spacing w:line="360" w:lineRule="auto"/>
              <w:rPr>
                <w:b/>
              </w:rPr>
            </w:pPr>
            <w:r>
              <w:rPr>
                <w:b/>
              </w:rPr>
              <w:lastRenderedPageBreak/>
              <w:t>NHDC to reconsider site specific criteria for BA10 and produce a paper demonstrating how reduction and/or amelioration of impact on GB is proposed to be achieved.</w:t>
            </w:r>
          </w:p>
          <w:p w:rsidR="00E06981" w:rsidRDefault="00E06981" w:rsidP="00057C10">
            <w:pPr>
              <w:spacing w:line="360" w:lineRule="auto"/>
              <w:rPr>
                <w:b/>
              </w:rPr>
            </w:pPr>
            <w:r>
              <w:rPr>
                <w:b/>
              </w:rPr>
              <w:t>NHDC to consider including extra criteria to reflect the findings of the landscape sensitivity study e.g. will green roofs be required on new commercial buildings.</w:t>
            </w:r>
          </w:p>
          <w:p w:rsidR="00E06981" w:rsidRDefault="00E06981" w:rsidP="00057C10">
            <w:pPr>
              <w:spacing w:line="360" w:lineRule="auto"/>
              <w:rPr>
                <w:b/>
              </w:rPr>
            </w:pPr>
            <w:r>
              <w:rPr>
                <w:b/>
              </w:rPr>
              <w:t>NHDC to ensure that any additional suggested criteria are made subject to viability testing</w:t>
            </w:r>
          </w:p>
          <w:p w:rsidR="00E06981" w:rsidRDefault="00E06981" w:rsidP="00057C10">
            <w:pPr>
              <w:spacing w:line="360" w:lineRule="auto"/>
              <w:rPr>
                <w:b/>
              </w:rPr>
            </w:pPr>
            <w:r>
              <w:rPr>
                <w:b/>
              </w:rPr>
              <w:t>NHDC to also reconsider site-specific criteria for RY9</w:t>
            </w:r>
          </w:p>
        </w:tc>
        <w:tc>
          <w:tcPr>
            <w:tcW w:w="198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bl>
    <w:p w:rsidR="00E06981" w:rsidRDefault="00E06981"/>
    <w:p w:rsidR="00E06981" w:rsidRDefault="00E06981">
      <w:r>
        <w:br w:type="page"/>
      </w:r>
    </w:p>
    <w:p w:rsidR="00A64EAE" w:rsidRDefault="00A64EAE"/>
    <w:tbl>
      <w:tblPr>
        <w:tblStyle w:val="TableGrid"/>
        <w:tblW w:w="9747" w:type="dxa"/>
        <w:tblLook w:val="04A0" w:firstRow="1" w:lastRow="0" w:firstColumn="1" w:lastColumn="0" w:noHBand="0" w:noVBand="1"/>
      </w:tblPr>
      <w:tblGrid>
        <w:gridCol w:w="6030"/>
        <w:gridCol w:w="1875"/>
        <w:gridCol w:w="1842"/>
      </w:tblGrid>
      <w:tr w:rsidR="00E06981" w:rsidTr="00E06981">
        <w:trPr>
          <w:tblHeader/>
        </w:trPr>
        <w:tc>
          <w:tcPr>
            <w:tcW w:w="7905" w:type="dxa"/>
            <w:gridSpan w:val="2"/>
            <w:shd w:val="clear" w:color="auto" w:fill="BDD6EE" w:themeFill="accent1" w:themeFillTint="66"/>
          </w:tcPr>
          <w:p w:rsidR="00E06981" w:rsidRDefault="00E06981" w:rsidP="00095164">
            <w:r>
              <w:t xml:space="preserve">Matter 14 </w:t>
            </w:r>
            <w:r w:rsidR="002376FC">
              <w:t>– Town and Local Centres</w:t>
            </w:r>
          </w:p>
        </w:tc>
        <w:tc>
          <w:tcPr>
            <w:tcW w:w="1842" w:type="dxa"/>
            <w:shd w:val="clear" w:color="auto" w:fill="BDD6EE" w:themeFill="accent1" w:themeFillTint="66"/>
          </w:tcPr>
          <w:p w:rsidR="00E06981" w:rsidRDefault="00E06981" w:rsidP="00095164"/>
        </w:tc>
      </w:tr>
      <w:tr w:rsidR="00E06981" w:rsidTr="00E06981">
        <w:trPr>
          <w:tblHeader/>
        </w:trPr>
        <w:tc>
          <w:tcPr>
            <w:tcW w:w="6030" w:type="dxa"/>
            <w:shd w:val="clear" w:color="auto" w:fill="000000" w:themeFill="text1"/>
          </w:tcPr>
          <w:p w:rsidR="00E06981" w:rsidRPr="002376FC" w:rsidRDefault="00E06981" w:rsidP="00095164">
            <w:pPr>
              <w:rPr>
                <w:b/>
              </w:rPr>
            </w:pPr>
            <w:r w:rsidRPr="002376FC">
              <w:rPr>
                <w:b/>
              </w:rPr>
              <w:t>Action</w:t>
            </w:r>
          </w:p>
        </w:tc>
        <w:tc>
          <w:tcPr>
            <w:tcW w:w="1875" w:type="dxa"/>
            <w:shd w:val="clear" w:color="auto" w:fill="000000" w:themeFill="text1"/>
          </w:tcPr>
          <w:p w:rsidR="00E06981" w:rsidRPr="002376FC" w:rsidRDefault="00E06981" w:rsidP="00095164">
            <w:pPr>
              <w:rPr>
                <w:b/>
              </w:rPr>
            </w:pPr>
            <w:r w:rsidRPr="002376FC">
              <w:rPr>
                <w:b/>
              </w:rPr>
              <w:t>Date on which Action Completed</w:t>
            </w:r>
          </w:p>
        </w:tc>
        <w:tc>
          <w:tcPr>
            <w:tcW w:w="1842" w:type="dxa"/>
            <w:shd w:val="clear" w:color="auto" w:fill="000000" w:themeFill="text1"/>
          </w:tcPr>
          <w:p w:rsidR="00E06981" w:rsidRPr="002376FC" w:rsidRDefault="00E06981" w:rsidP="00E06981">
            <w:pPr>
              <w:rPr>
                <w:b/>
              </w:rPr>
            </w:pPr>
            <w:r w:rsidRPr="002376FC">
              <w:rPr>
                <w:b/>
              </w:rPr>
              <w:t>Examination Doc</w:t>
            </w:r>
          </w:p>
          <w:p w:rsidR="00E06981" w:rsidRPr="002376FC" w:rsidRDefault="00E06981" w:rsidP="00E06981">
            <w:pPr>
              <w:rPr>
                <w:b/>
              </w:rPr>
            </w:pPr>
            <w:r w:rsidRPr="002376FC">
              <w:rPr>
                <w:b/>
              </w:rPr>
              <w:t>Reference No.</w:t>
            </w:r>
          </w:p>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NHDC to propose amendments to Policy SP4 as follows:</w:t>
            </w:r>
          </w:p>
          <w:p w:rsidR="00E06981" w:rsidRDefault="00E06981" w:rsidP="00057C10">
            <w:pPr>
              <w:pStyle w:val="ListParagraph"/>
              <w:numPr>
                <w:ilvl w:val="0"/>
                <w:numId w:val="26"/>
              </w:numPr>
              <w:spacing w:line="360" w:lineRule="auto"/>
              <w:rPr>
                <w:b/>
              </w:rPr>
            </w:pPr>
            <w:r>
              <w:rPr>
                <w:b/>
              </w:rPr>
              <w:t>Amend title of SP4 to “Towns and Local Centres and Local Community Shops”</w:t>
            </w:r>
          </w:p>
          <w:p w:rsidR="00E06981" w:rsidRDefault="00E06981" w:rsidP="00057C10">
            <w:pPr>
              <w:pStyle w:val="ListParagraph"/>
              <w:numPr>
                <w:ilvl w:val="0"/>
                <w:numId w:val="26"/>
              </w:numPr>
              <w:spacing w:line="360" w:lineRule="auto"/>
              <w:rPr>
                <w:b/>
              </w:rPr>
            </w:pPr>
            <w:r>
              <w:rPr>
                <w:b/>
              </w:rPr>
              <w:t>Insert “day to day” in SP4(f)</w:t>
            </w:r>
          </w:p>
          <w:p w:rsidR="00E06981" w:rsidRDefault="00E06981" w:rsidP="00057C10">
            <w:pPr>
              <w:pStyle w:val="ListParagraph"/>
              <w:numPr>
                <w:ilvl w:val="0"/>
                <w:numId w:val="26"/>
              </w:numPr>
              <w:spacing w:line="360" w:lineRule="auto"/>
              <w:rPr>
                <w:b/>
              </w:rPr>
            </w:pPr>
            <w:r>
              <w:rPr>
                <w:b/>
              </w:rPr>
              <w:t>Amend (ii) to 8600 rather than 8500 convenience</w:t>
            </w:r>
          </w:p>
          <w:p w:rsidR="00E06981" w:rsidRDefault="00E06981" w:rsidP="00057C10">
            <w:pPr>
              <w:pStyle w:val="ListParagraph"/>
              <w:numPr>
                <w:ilvl w:val="0"/>
                <w:numId w:val="26"/>
              </w:numPr>
              <w:spacing w:line="360" w:lineRule="auto"/>
              <w:rPr>
                <w:b/>
              </w:rPr>
            </w:pPr>
            <w:r>
              <w:rPr>
                <w:b/>
              </w:rPr>
              <w:t>Add “gross” where relevant</w:t>
            </w:r>
          </w:p>
          <w:p w:rsidR="00E06981" w:rsidRDefault="00E06981" w:rsidP="00057C10">
            <w:pPr>
              <w:pStyle w:val="ListParagraph"/>
              <w:numPr>
                <w:ilvl w:val="0"/>
                <w:numId w:val="26"/>
              </w:numPr>
              <w:spacing w:line="360" w:lineRule="auto"/>
              <w:rPr>
                <w:b/>
              </w:rPr>
            </w:pPr>
            <w:r>
              <w:rPr>
                <w:b/>
              </w:rPr>
              <w:t>Amend (</w:t>
            </w:r>
            <w:proofErr w:type="spellStart"/>
            <w:r>
              <w:rPr>
                <w:b/>
              </w:rPr>
              <w:t>i</w:t>
            </w:r>
            <w:proofErr w:type="spellEnd"/>
            <w:r>
              <w:rPr>
                <w:b/>
              </w:rPr>
              <w:t>)-(iii) to refer to square metres (carry this through all relevant parts of Plan)</w:t>
            </w:r>
          </w:p>
          <w:p w:rsidR="00E06981" w:rsidRDefault="00E06981" w:rsidP="00057C10">
            <w:pPr>
              <w:pStyle w:val="ListParagraph"/>
              <w:numPr>
                <w:ilvl w:val="0"/>
                <w:numId w:val="26"/>
              </w:numPr>
              <w:spacing w:line="360" w:lineRule="auto"/>
              <w:rPr>
                <w:b/>
              </w:rPr>
            </w:pPr>
            <w:r>
              <w:rPr>
                <w:b/>
              </w:rPr>
              <w:t>Amend “other town centre uses” to refer to food and beverage outlets under Class A3-A5 and cite examples such as restaurants, takeaways and bars</w:t>
            </w:r>
          </w:p>
          <w:p w:rsidR="00E06981" w:rsidRDefault="00E06981" w:rsidP="00057C10">
            <w:pPr>
              <w:pStyle w:val="ListParagraph"/>
              <w:numPr>
                <w:ilvl w:val="0"/>
                <w:numId w:val="26"/>
              </w:numPr>
              <w:spacing w:line="360" w:lineRule="auto"/>
              <w:rPr>
                <w:b/>
              </w:rPr>
            </w:pPr>
            <w:r>
              <w:rPr>
                <w:b/>
              </w:rPr>
              <w:t>Include a breakdown of SP4(d) into five year intervals in policy through additional table/s using figures for towns (taken as a whole), urban extensions and other</w:t>
            </w:r>
          </w:p>
          <w:p w:rsidR="00E06981" w:rsidRDefault="00E06981" w:rsidP="00057C10">
            <w:pPr>
              <w:pStyle w:val="ListParagraph"/>
              <w:numPr>
                <w:ilvl w:val="0"/>
                <w:numId w:val="26"/>
              </w:numPr>
              <w:spacing w:line="360" w:lineRule="auto"/>
              <w:rPr>
                <w:b/>
              </w:rPr>
            </w:pPr>
            <w:r>
              <w:rPr>
                <w:b/>
              </w:rPr>
              <w:t>Amend SP4(e) to “prepare and maintain…”</w:t>
            </w:r>
          </w:p>
          <w:p w:rsidR="00E06981" w:rsidRPr="005C18A7" w:rsidRDefault="00E06981" w:rsidP="00057C10">
            <w:pPr>
              <w:pStyle w:val="ListParagraph"/>
              <w:numPr>
                <w:ilvl w:val="0"/>
                <w:numId w:val="26"/>
              </w:numPr>
              <w:spacing w:line="360" w:lineRule="auto"/>
              <w:rPr>
                <w:b/>
              </w:rPr>
            </w:pPr>
            <w:r>
              <w:rPr>
                <w:b/>
              </w:rPr>
              <w:t>Delete “broad locations” from paragraph 4.48</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NHDC to propose amendments to Policy ETC7 as follows:</w:t>
            </w:r>
          </w:p>
          <w:p w:rsidR="00E06981" w:rsidRDefault="00E06981" w:rsidP="00057C10">
            <w:pPr>
              <w:pStyle w:val="ListParagraph"/>
              <w:numPr>
                <w:ilvl w:val="0"/>
                <w:numId w:val="27"/>
              </w:numPr>
              <w:spacing w:line="360" w:lineRule="auto"/>
              <w:rPr>
                <w:b/>
              </w:rPr>
            </w:pPr>
            <w:r>
              <w:rPr>
                <w:b/>
              </w:rPr>
              <w:t>Insert “the day to day needs of the local community”</w:t>
            </w:r>
          </w:p>
          <w:p w:rsidR="00E06981" w:rsidRDefault="00E06981" w:rsidP="00057C10">
            <w:pPr>
              <w:pStyle w:val="ListParagraph"/>
              <w:numPr>
                <w:ilvl w:val="0"/>
                <w:numId w:val="27"/>
              </w:numPr>
              <w:spacing w:line="360" w:lineRule="auto"/>
              <w:rPr>
                <w:b/>
              </w:rPr>
            </w:pPr>
            <w:r>
              <w:rPr>
                <w:b/>
              </w:rPr>
              <w:t>Consider inclusion of factors to take into account when considering whether or not shops serve a day to day local need</w:t>
            </w:r>
          </w:p>
          <w:p w:rsidR="00E06981" w:rsidRDefault="00E06981" w:rsidP="00057C10">
            <w:pPr>
              <w:pStyle w:val="ListParagraph"/>
              <w:numPr>
                <w:ilvl w:val="0"/>
                <w:numId w:val="27"/>
              </w:numPr>
              <w:spacing w:line="360" w:lineRule="auto"/>
              <w:rPr>
                <w:b/>
              </w:rPr>
            </w:pPr>
            <w:r>
              <w:rPr>
                <w:b/>
              </w:rPr>
              <w:t>Amend title to “Local Community Shops”</w:t>
            </w:r>
          </w:p>
          <w:p w:rsidR="00E06981" w:rsidRDefault="00E06981" w:rsidP="00057C10">
            <w:pPr>
              <w:pStyle w:val="ListParagraph"/>
              <w:numPr>
                <w:ilvl w:val="0"/>
                <w:numId w:val="27"/>
              </w:numPr>
              <w:spacing w:line="360" w:lineRule="auto"/>
              <w:rPr>
                <w:b/>
              </w:rPr>
            </w:pPr>
            <w:r>
              <w:rPr>
                <w:b/>
              </w:rPr>
              <w:t>Move reference to “will be granted within existing settlements” to after “day to day needs”</w:t>
            </w:r>
          </w:p>
          <w:p w:rsidR="00E06981" w:rsidRDefault="00E06981" w:rsidP="00057C10">
            <w:pPr>
              <w:pStyle w:val="ListParagraph"/>
              <w:numPr>
                <w:ilvl w:val="0"/>
                <w:numId w:val="27"/>
              </w:numPr>
              <w:spacing w:line="360" w:lineRule="auto"/>
              <w:rPr>
                <w:b/>
              </w:rPr>
            </w:pPr>
            <w:r>
              <w:rPr>
                <w:b/>
              </w:rPr>
              <w:t>Add “up to 800m” in relation to convenient walking distance</w:t>
            </w:r>
          </w:p>
          <w:p w:rsidR="00E06981" w:rsidRPr="00491CF0" w:rsidRDefault="00E06981" w:rsidP="00057C10">
            <w:pPr>
              <w:pStyle w:val="ListParagraph"/>
              <w:numPr>
                <w:ilvl w:val="0"/>
                <w:numId w:val="27"/>
              </w:numPr>
              <w:spacing w:line="360" w:lineRule="auto"/>
              <w:rPr>
                <w:b/>
              </w:rPr>
            </w:pPr>
            <w:r>
              <w:rPr>
                <w:b/>
              </w:rPr>
              <w:t>Consider what “within existing settlements” means and whether amendment is required. Is it intended to apply to Category C villages? Ensure consistency with proposed amendments to Policy SP2</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Add ‘Policy’ to title of all allocations (to be carried across all allocations in Plan)</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E06981">
        <w:tc>
          <w:tcPr>
            <w:tcW w:w="6030" w:type="dxa"/>
          </w:tcPr>
          <w:p w:rsidR="00E06981" w:rsidRDefault="00E06981" w:rsidP="00057C10">
            <w:pPr>
              <w:spacing w:line="360" w:lineRule="auto"/>
              <w:rPr>
                <w:b/>
              </w:rPr>
            </w:pPr>
            <w:r>
              <w:rPr>
                <w:b/>
              </w:rPr>
              <w:t xml:space="preserve">NHDC to provide note explain how the capacity identified has been reached and how the Plan proposes to meet retail needs across Plan period to include explanation of whether Plan is providing for capacities in Hitchin </w:t>
            </w:r>
            <w:proofErr w:type="spellStart"/>
            <w:r>
              <w:rPr>
                <w:b/>
              </w:rPr>
              <w:t>etc</w:t>
            </w:r>
            <w:proofErr w:type="spellEnd"/>
            <w:r>
              <w:rPr>
                <w:b/>
              </w:rPr>
              <w:t xml:space="preserve"> in Letchworth. In effect, summary table and explanation required of information included in Section 5 of NLP Retail Study</w:t>
            </w:r>
          </w:p>
        </w:tc>
        <w:tc>
          <w:tcPr>
            <w:tcW w:w="1875" w:type="dxa"/>
          </w:tcPr>
          <w:p w:rsidR="00E06981" w:rsidRDefault="002376FC" w:rsidP="00057C10">
            <w:r>
              <w:t>08.03.2018</w:t>
            </w:r>
          </w:p>
        </w:tc>
        <w:tc>
          <w:tcPr>
            <w:tcW w:w="1842" w:type="dxa"/>
          </w:tcPr>
          <w:p w:rsidR="00E06981" w:rsidRDefault="002E15C3" w:rsidP="00057C10">
            <w:hyperlink r:id="rId8" w:history="1">
              <w:r w:rsidR="002376FC" w:rsidRPr="002E15C3">
                <w:rPr>
                  <w:rStyle w:val="Hyperlink"/>
                </w:rPr>
                <w:t>ED117</w:t>
              </w:r>
            </w:hyperlink>
          </w:p>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NHDC to propose amendment to Plan to ensure that Plan explains strategy in respect of retail e.g. if retail is to be concentrated in Letchworth and to reflect that aim is maintain market share.</w:t>
            </w:r>
          </w:p>
          <w:p w:rsidR="00E06981" w:rsidRDefault="00E06981" w:rsidP="00057C10">
            <w:pPr>
              <w:spacing w:line="360" w:lineRule="auto"/>
              <w:rPr>
                <w:b/>
              </w:rPr>
            </w:pPr>
            <w:r>
              <w:rPr>
                <w:b/>
              </w:rPr>
              <w:t>Suggested amendment to SP4(d): “To ensure District’s towns maintain role and market share…”</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NHDC to move thresholds and other content of paragraph 5.19 into Policy ETC3</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NHDC to remove reference to “exceptionally” in ETC4 and ETC5</w:t>
            </w:r>
          </w:p>
          <w:p w:rsidR="00E06981" w:rsidRDefault="00E06981" w:rsidP="00057C10">
            <w:pPr>
              <w:spacing w:line="360" w:lineRule="auto"/>
              <w:rPr>
                <w:b/>
              </w:rPr>
            </w:pPr>
            <w:r>
              <w:rPr>
                <w:b/>
              </w:rPr>
              <w:t>NHDC to consider amendment to ETC4 and ETC5 to widen permitted uses e.g. in respect of ETC5(a) adding A4 and A5 uses.</w:t>
            </w:r>
          </w:p>
          <w:p w:rsidR="00E06981" w:rsidRDefault="00E06981" w:rsidP="00057C10">
            <w:pPr>
              <w:spacing w:line="360" w:lineRule="auto"/>
              <w:rPr>
                <w:b/>
              </w:rPr>
            </w:pPr>
            <w:r>
              <w:rPr>
                <w:b/>
              </w:rPr>
              <w:t>NHDC to consider adding reference to “in the daytime” to ETC4</w:t>
            </w:r>
          </w:p>
          <w:p w:rsidR="00E06981" w:rsidRDefault="00E06981" w:rsidP="00057C10">
            <w:pPr>
              <w:spacing w:line="360" w:lineRule="auto"/>
              <w:rPr>
                <w:b/>
              </w:rPr>
            </w:pPr>
            <w:r>
              <w:rPr>
                <w:b/>
              </w:rPr>
              <w:t>NHDC to consider amendment to ETC4 and ETC5 so that they do not require a positive impact on vitality and vibrancy but rather simply a neutral impact</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NHDC to propose amendment to Policy ETC6 as follows:</w:t>
            </w:r>
          </w:p>
          <w:p w:rsidR="00E06981" w:rsidRDefault="00E06981" w:rsidP="00057C10">
            <w:pPr>
              <w:pStyle w:val="ListParagraph"/>
              <w:numPr>
                <w:ilvl w:val="0"/>
                <w:numId w:val="28"/>
              </w:numPr>
              <w:spacing w:line="360" w:lineRule="auto"/>
              <w:rPr>
                <w:b/>
              </w:rPr>
            </w:pPr>
            <w:r>
              <w:rPr>
                <w:b/>
              </w:rPr>
              <w:t>Remove c(ii)</w:t>
            </w:r>
          </w:p>
          <w:p w:rsidR="00E06981" w:rsidRDefault="00E06981" w:rsidP="00057C10">
            <w:pPr>
              <w:pStyle w:val="ListParagraph"/>
              <w:numPr>
                <w:ilvl w:val="0"/>
                <w:numId w:val="28"/>
              </w:numPr>
              <w:spacing w:line="360" w:lineRule="auto"/>
              <w:rPr>
                <w:b/>
              </w:rPr>
            </w:pPr>
            <w:r>
              <w:rPr>
                <w:b/>
              </w:rPr>
              <w:t>Add “so as not to undermine the provision of local shopping facilities to criterion b</w:t>
            </w:r>
          </w:p>
          <w:p w:rsidR="00E06981" w:rsidRPr="00CD3828" w:rsidRDefault="00E06981" w:rsidP="00057C10">
            <w:pPr>
              <w:pStyle w:val="ListParagraph"/>
              <w:numPr>
                <w:ilvl w:val="0"/>
                <w:numId w:val="28"/>
              </w:numPr>
              <w:spacing w:line="360" w:lineRule="auto"/>
              <w:rPr>
                <w:b/>
              </w:rPr>
            </w:pPr>
            <w:r>
              <w:rPr>
                <w:b/>
              </w:rPr>
              <w:t>Reorder policy so that criterion c comes before b</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2376FC">
        <w:tc>
          <w:tcPr>
            <w:tcW w:w="6030" w:type="dxa"/>
            <w:shd w:val="clear" w:color="auto" w:fill="F2F2F2" w:themeFill="background1" w:themeFillShade="F2"/>
          </w:tcPr>
          <w:p w:rsidR="00E06981" w:rsidRDefault="00E06981" w:rsidP="00057C10">
            <w:pPr>
              <w:spacing w:line="360" w:lineRule="auto"/>
              <w:rPr>
                <w:b/>
              </w:rPr>
            </w:pPr>
            <w:r>
              <w:rPr>
                <w:b/>
              </w:rPr>
              <w:t>NHDC to reconsider Policy ETC8 and its compliance with the sequential approach</w:t>
            </w:r>
          </w:p>
        </w:tc>
        <w:tc>
          <w:tcPr>
            <w:tcW w:w="1875" w:type="dxa"/>
            <w:shd w:val="clear" w:color="auto" w:fill="F2F2F2" w:themeFill="background1" w:themeFillShade="F2"/>
          </w:tcPr>
          <w:p w:rsidR="00E06981" w:rsidRDefault="00E06981" w:rsidP="00057C10"/>
        </w:tc>
        <w:tc>
          <w:tcPr>
            <w:tcW w:w="1842" w:type="dxa"/>
            <w:shd w:val="clear" w:color="auto" w:fill="F2F2F2" w:themeFill="background1" w:themeFillShade="F2"/>
          </w:tcPr>
          <w:p w:rsidR="00E06981" w:rsidRDefault="00E06981" w:rsidP="00057C10"/>
        </w:tc>
      </w:tr>
      <w:tr w:rsidR="00E06981" w:rsidTr="00E06981">
        <w:tc>
          <w:tcPr>
            <w:tcW w:w="6030" w:type="dxa"/>
          </w:tcPr>
          <w:p w:rsidR="00E06981" w:rsidRDefault="00E06981" w:rsidP="00057C10">
            <w:pPr>
              <w:spacing w:line="360" w:lineRule="auto"/>
              <w:rPr>
                <w:b/>
              </w:rPr>
            </w:pPr>
            <w:r>
              <w:rPr>
                <w:b/>
              </w:rPr>
              <w:t>NHDC to clarify why Site r/m3 was not allocated for retail</w:t>
            </w:r>
          </w:p>
        </w:tc>
        <w:tc>
          <w:tcPr>
            <w:tcW w:w="1875" w:type="dxa"/>
          </w:tcPr>
          <w:p w:rsidR="00E06981" w:rsidRDefault="00E06981" w:rsidP="00057C10"/>
        </w:tc>
        <w:tc>
          <w:tcPr>
            <w:tcW w:w="1842" w:type="dxa"/>
          </w:tcPr>
          <w:p w:rsidR="00E06981" w:rsidRDefault="00E06981" w:rsidP="00057C10"/>
        </w:tc>
      </w:tr>
      <w:tr w:rsidR="00E06981" w:rsidTr="00E06981">
        <w:tc>
          <w:tcPr>
            <w:tcW w:w="6030" w:type="dxa"/>
          </w:tcPr>
          <w:p w:rsidR="00E06981" w:rsidRDefault="00E06981" w:rsidP="00057C10">
            <w:pPr>
              <w:spacing w:line="360" w:lineRule="auto"/>
              <w:rPr>
                <w:b/>
              </w:rPr>
            </w:pPr>
            <w:r>
              <w:rPr>
                <w:b/>
              </w:rPr>
              <w:t>NHDC to provide table confirming that all sites are available with willing landowners for retail sites (and all sites proposed to be allocated in Plan)</w:t>
            </w:r>
          </w:p>
        </w:tc>
        <w:tc>
          <w:tcPr>
            <w:tcW w:w="1875" w:type="dxa"/>
          </w:tcPr>
          <w:p w:rsidR="00E06981" w:rsidRDefault="00E06981" w:rsidP="00057C10"/>
        </w:tc>
        <w:tc>
          <w:tcPr>
            <w:tcW w:w="1842" w:type="dxa"/>
          </w:tcPr>
          <w:p w:rsidR="00E06981" w:rsidRDefault="00E06981" w:rsidP="00057C10"/>
        </w:tc>
      </w:tr>
      <w:tr w:rsidR="00E06981" w:rsidTr="00E06981">
        <w:tc>
          <w:tcPr>
            <w:tcW w:w="6030" w:type="dxa"/>
          </w:tcPr>
          <w:p w:rsidR="00E06981" w:rsidRDefault="00E06981" w:rsidP="00057C10">
            <w:pPr>
              <w:spacing w:line="360" w:lineRule="auto"/>
              <w:rPr>
                <w:b/>
              </w:rPr>
            </w:pPr>
            <w:r>
              <w:rPr>
                <w:b/>
              </w:rPr>
              <w:t xml:space="preserve">NHDC to check </w:t>
            </w:r>
            <w:proofErr w:type="spellStart"/>
            <w:r>
              <w:rPr>
                <w:b/>
              </w:rPr>
              <w:t>sq.m</w:t>
            </w:r>
            <w:proofErr w:type="spellEnd"/>
            <w:r>
              <w:rPr>
                <w:b/>
              </w:rPr>
              <w:t xml:space="preserve"> in Policy HT12 and whether it is correct</w:t>
            </w:r>
          </w:p>
        </w:tc>
        <w:tc>
          <w:tcPr>
            <w:tcW w:w="1875" w:type="dxa"/>
          </w:tcPr>
          <w:p w:rsidR="00E06981" w:rsidRDefault="00E06981" w:rsidP="00057C10"/>
        </w:tc>
        <w:tc>
          <w:tcPr>
            <w:tcW w:w="1842" w:type="dxa"/>
          </w:tcPr>
          <w:p w:rsidR="00E06981" w:rsidRDefault="00E06981" w:rsidP="00057C10"/>
        </w:tc>
      </w:tr>
      <w:tr w:rsidR="00E06981" w:rsidTr="00E06981">
        <w:tc>
          <w:tcPr>
            <w:tcW w:w="6030" w:type="dxa"/>
          </w:tcPr>
          <w:p w:rsidR="00E06981" w:rsidRDefault="00E06981" w:rsidP="00057C10">
            <w:pPr>
              <w:spacing w:line="360" w:lineRule="auto"/>
              <w:rPr>
                <w:b/>
              </w:rPr>
            </w:pPr>
            <w:r>
              <w:rPr>
                <w:b/>
              </w:rPr>
              <w:t xml:space="preserve">NHDC to give consideration a </w:t>
            </w:r>
            <w:proofErr w:type="spellStart"/>
            <w:r>
              <w:rPr>
                <w:b/>
              </w:rPr>
              <w:t>masterplan</w:t>
            </w:r>
            <w:proofErr w:type="spellEnd"/>
            <w:r>
              <w:rPr>
                <w:b/>
              </w:rPr>
              <w:t xml:space="preserve"> requirement for HT11 and to draft paper setting out nature of proposal for HT11 bearing in mind ownership issues and likely timescales </w:t>
            </w:r>
          </w:p>
          <w:p w:rsidR="00E06981" w:rsidRDefault="00E06981" w:rsidP="00057C10">
            <w:pPr>
              <w:spacing w:line="360" w:lineRule="auto"/>
              <w:rPr>
                <w:b/>
              </w:rPr>
            </w:pPr>
            <w:r>
              <w:rPr>
                <w:b/>
              </w:rPr>
              <w:t>NHDC to reconsider site-specific criteria e.g. in respect of continued operation of market</w:t>
            </w:r>
          </w:p>
        </w:tc>
        <w:tc>
          <w:tcPr>
            <w:tcW w:w="1875" w:type="dxa"/>
          </w:tcPr>
          <w:p w:rsidR="00E06981" w:rsidRDefault="00E06981" w:rsidP="00057C10"/>
        </w:tc>
        <w:tc>
          <w:tcPr>
            <w:tcW w:w="1842" w:type="dxa"/>
          </w:tcPr>
          <w:p w:rsidR="00E06981" w:rsidRDefault="00E06981" w:rsidP="00057C10"/>
        </w:tc>
      </w:tr>
    </w:tbl>
    <w:p w:rsidR="002135F0" w:rsidRDefault="002135F0" w:rsidP="00E06981"/>
    <w:sectPr w:rsidR="002135F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81" w:rsidRDefault="00782B56">
      <w:pPr>
        <w:spacing w:after="0" w:line="240" w:lineRule="auto"/>
      </w:pPr>
      <w:r>
        <w:separator/>
      </w:r>
    </w:p>
  </w:endnote>
  <w:endnote w:type="continuationSeparator" w:id="0">
    <w:p w:rsidR="001D5681" w:rsidRDefault="007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0025"/>
      <w:docPartObj>
        <w:docPartGallery w:val="Page Numbers (Bottom of Page)"/>
        <w:docPartUnique/>
      </w:docPartObj>
    </w:sdtPr>
    <w:sdtEndPr>
      <w:rPr>
        <w:noProof/>
      </w:rPr>
    </w:sdtEndPr>
    <w:sdtContent>
      <w:p w:rsidR="00952C5D" w:rsidRDefault="00EA4C68">
        <w:pPr>
          <w:pStyle w:val="Footer"/>
          <w:jc w:val="center"/>
        </w:pPr>
        <w:r>
          <w:fldChar w:fldCharType="begin"/>
        </w:r>
        <w:r>
          <w:instrText xml:space="preserve"> PAGE   \* MERGEFORMAT </w:instrText>
        </w:r>
        <w:r>
          <w:fldChar w:fldCharType="separate"/>
        </w:r>
        <w:r w:rsidR="002E15C3">
          <w:rPr>
            <w:noProof/>
          </w:rPr>
          <w:t>5</w:t>
        </w:r>
        <w:r>
          <w:rPr>
            <w:noProof/>
          </w:rPr>
          <w:fldChar w:fldCharType="end"/>
        </w:r>
      </w:p>
    </w:sdtContent>
  </w:sdt>
  <w:p w:rsidR="00952C5D" w:rsidRDefault="002E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81" w:rsidRDefault="00782B56">
      <w:pPr>
        <w:spacing w:after="0" w:line="240" w:lineRule="auto"/>
      </w:pPr>
      <w:r>
        <w:separator/>
      </w:r>
    </w:p>
  </w:footnote>
  <w:footnote w:type="continuationSeparator" w:id="0">
    <w:p w:rsidR="001D5681" w:rsidRDefault="007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4D" w:rsidRDefault="00EA4C68">
    <w:pPr>
      <w:pStyle w:val="Header"/>
    </w:pPr>
    <w:r>
      <w:t>NORTH HERTFORDSHIRE DISTRICT COUNCIL LOCAL PLAN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FC"/>
    <w:multiLevelType w:val="hybridMultilevel"/>
    <w:tmpl w:val="B67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6FEE"/>
    <w:multiLevelType w:val="hybridMultilevel"/>
    <w:tmpl w:val="DFE85F7C"/>
    <w:lvl w:ilvl="0" w:tplc="44583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C1F19"/>
    <w:multiLevelType w:val="hybridMultilevel"/>
    <w:tmpl w:val="6FF4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43E87"/>
    <w:multiLevelType w:val="hybridMultilevel"/>
    <w:tmpl w:val="9DE4BFC0"/>
    <w:lvl w:ilvl="0" w:tplc="D84C8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3215D"/>
    <w:multiLevelType w:val="hybridMultilevel"/>
    <w:tmpl w:val="407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208B2"/>
    <w:multiLevelType w:val="hybridMultilevel"/>
    <w:tmpl w:val="708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624EB"/>
    <w:multiLevelType w:val="hybridMultilevel"/>
    <w:tmpl w:val="2B1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64E5D"/>
    <w:multiLevelType w:val="hybridMultilevel"/>
    <w:tmpl w:val="22C0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208AB"/>
    <w:multiLevelType w:val="hybridMultilevel"/>
    <w:tmpl w:val="018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E3C6E"/>
    <w:multiLevelType w:val="hybridMultilevel"/>
    <w:tmpl w:val="0F56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33C4A"/>
    <w:multiLevelType w:val="hybridMultilevel"/>
    <w:tmpl w:val="9A843EB6"/>
    <w:lvl w:ilvl="0" w:tplc="E50A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E23A7"/>
    <w:multiLevelType w:val="hybridMultilevel"/>
    <w:tmpl w:val="35427E56"/>
    <w:lvl w:ilvl="0" w:tplc="AA3E8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D45D7"/>
    <w:multiLevelType w:val="hybridMultilevel"/>
    <w:tmpl w:val="08A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C031E"/>
    <w:multiLevelType w:val="hybridMultilevel"/>
    <w:tmpl w:val="7D7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D105C"/>
    <w:multiLevelType w:val="hybridMultilevel"/>
    <w:tmpl w:val="9032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059B6"/>
    <w:multiLevelType w:val="hybridMultilevel"/>
    <w:tmpl w:val="E74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26CF2"/>
    <w:multiLevelType w:val="hybridMultilevel"/>
    <w:tmpl w:val="AFB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E5AFD"/>
    <w:multiLevelType w:val="hybridMultilevel"/>
    <w:tmpl w:val="EE1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11F5F"/>
    <w:multiLevelType w:val="hybridMultilevel"/>
    <w:tmpl w:val="555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D473B"/>
    <w:multiLevelType w:val="hybridMultilevel"/>
    <w:tmpl w:val="F8F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B37A3"/>
    <w:multiLevelType w:val="hybridMultilevel"/>
    <w:tmpl w:val="5E9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00273"/>
    <w:multiLevelType w:val="hybridMultilevel"/>
    <w:tmpl w:val="4EC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F208D"/>
    <w:multiLevelType w:val="hybridMultilevel"/>
    <w:tmpl w:val="048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694CCF"/>
    <w:multiLevelType w:val="hybridMultilevel"/>
    <w:tmpl w:val="9BF2305A"/>
    <w:lvl w:ilvl="0" w:tplc="0C2C5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1C2287"/>
    <w:multiLevelType w:val="hybridMultilevel"/>
    <w:tmpl w:val="A714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A51861"/>
    <w:multiLevelType w:val="hybridMultilevel"/>
    <w:tmpl w:val="E6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1788B"/>
    <w:multiLevelType w:val="hybridMultilevel"/>
    <w:tmpl w:val="647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70909"/>
    <w:multiLevelType w:val="hybridMultilevel"/>
    <w:tmpl w:val="4CA0FCB4"/>
    <w:lvl w:ilvl="0" w:tplc="164A9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B5536F"/>
    <w:multiLevelType w:val="hybridMultilevel"/>
    <w:tmpl w:val="2F1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4B2BED"/>
    <w:multiLevelType w:val="hybridMultilevel"/>
    <w:tmpl w:val="C57A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B0115B"/>
    <w:multiLevelType w:val="hybridMultilevel"/>
    <w:tmpl w:val="21C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032240"/>
    <w:multiLevelType w:val="hybridMultilevel"/>
    <w:tmpl w:val="660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9620B"/>
    <w:multiLevelType w:val="hybridMultilevel"/>
    <w:tmpl w:val="3208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21"/>
  </w:num>
  <w:num w:numId="5">
    <w:abstractNumId w:val="17"/>
  </w:num>
  <w:num w:numId="6">
    <w:abstractNumId w:val="20"/>
  </w:num>
  <w:num w:numId="7">
    <w:abstractNumId w:val="29"/>
  </w:num>
  <w:num w:numId="8">
    <w:abstractNumId w:val="32"/>
  </w:num>
  <w:num w:numId="9">
    <w:abstractNumId w:val="31"/>
  </w:num>
  <w:num w:numId="10">
    <w:abstractNumId w:val="8"/>
  </w:num>
  <w:num w:numId="11">
    <w:abstractNumId w:val="4"/>
  </w:num>
  <w:num w:numId="12">
    <w:abstractNumId w:val="18"/>
  </w:num>
  <w:num w:numId="13">
    <w:abstractNumId w:val="24"/>
  </w:num>
  <w:num w:numId="14">
    <w:abstractNumId w:val="22"/>
  </w:num>
  <w:num w:numId="15">
    <w:abstractNumId w:val="3"/>
  </w:num>
  <w:num w:numId="16">
    <w:abstractNumId w:val="30"/>
  </w:num>
  <w:num w:numId="17">
    <w:abstractNumId w:val="28"/>
  </w:num>
  <w:num w:numId="18">
    <w:abstractNumId w:val="0"/>
  </w:num>
  <w:num w:numId="19">
    <w:abstractNumId w:val="6"/>
  </w:num>
  <w:num w:numId="20">
    <w:abstractNumId w:val="12"/>
  </w:num>
  <w:num w:numId="21">
    <w:abstractNumId w:val="25"/>
  </w:num>
  <w:num w:numId="22">
    <w:abstractNumId w:val="19"/>
  </w:num>
  <w:num w:numId="23">
    <w:abstractNumId w:val="9"/>
  </w:num>
  <w:num w:numId="24">
    <w:abstractNumId w:val="13"/>
  </w:num>
  <w:num w:numId="25">
    <w:abstractNumId w:val="15"/>
  </w:num>
  <w:num w:numId="26">
    <w:abstractNumId w:val="14"/>
  </w:num>
  <w:num w:numId="27">
    <w:abstractNumId w:val="2"/>
  </w:num>
  <w:num w:numId="28">
    <w:abstractNumId w:val="16"/>
  </w:num>
  <w:num w:numId="29">
    <w:abstractNumId w:val="23"/>
  </w:num>
  <w:num w:numId="30">
    <w:abstractNumId w:val="27"/>
  </w:num>
  <w:num w:numId="31">
    <w:abstractNumId w:val="11"/>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EC"/>
    <w:rsid w:val="000231A5"/>
    <w:rsid w:val="00032329"/>
    <w:rsid w:val="00041BF6"/>
    <w:rsid w:val="00057C10"/>
    <w:rsid w:val="00061617"/>
    <w:rsid w:val="000742D3"/>
    <w:rsid w:val="00080387"/>
    <w:rsid w:val="00082B69"/>
    <w:rsid w:val="00091326"/>
    <w:rsid w:val="000C0BFE"/>
    <w:rsid w:val="000C5FD2"/>
    <w:rsid w:val="000F0C9D"/>
    <w:rsid w:val="000F1125"/>
    <w:rsid w:val="00117DF4"/>
    <w:rsid w:val="00120A9A"/>
    <w:rsid w:val="00143B03"/>
    <w:rsid w:val="00193CBA"/>
    <w:rsid w:val="001B6EBC"/>
    <w:rsid w:val="001C7020"/>
    <w:rsid w:val="001D5681"/>
    <w:rsid w:val="001F1E4C"/>
    <w:rsid w:val="00201524"/>
    <w:rsid w:val="002030B1"/>
    <w:rsid w:val="002135F0"/>
    <w:rsid w:val="0022757E"/>
    <w:rsid w:val="00227915"/>
    <w:rsid w:val="002376FC"/>
    <w:rsid w:val="002410EC"/>
    <w:rsid w:val="00264F2A"/>
    <w:rsid w:val="00274049"/>
    <w:rsid w:val="0027778E"/>
    <w:rsid w:val="0029226B"/>
    <w:rsid w:val="00296539"/>
    <w:rsid w:val="002C5011"/>
    <w:rsid w:val="002C7392"/>
    <w:rsid w:val="002E15C3"/>
    <w:rsid w:val="002E291B"/>
    <w:rsid w:val="002E71E7"/>
    <w:rsid w:val="00302EA7"/>
    <w:rsid w:val="003223FA"/>
    <w:rsid w:val="00331397"/>
    <w:rsid w:val="00343192"/>
    <w:rsid w:val="00343E17"/>
    <w:rsid w:val="0039481B"/>
    <w:rsid w:val="003A7936"/>
    <w:rsid w:val="003B470C"/>
    <w:rsid w:val="003E340D"/>
    <w:rsid w:val="003F0931"/>
    <w:rsid w:val="004206E5"/>
    <w:rsid w:val="004452F9"/>
    <w:rsid w:val="004479A8"/>
    <w:rsid w:val="0045593D"/>
    <w:rsid w:val="00480730"/>
    <w:rsid w:val="004857AD"/>
    <w:rsid w:val="004936A7"/>
    <w:rsid w:val="004A656C"/>
    <w:rsid w:val="004C3127"/>
    <w:rsid w:val="004C6BA3"/>
    <w:rsid w:val="004E34F1"/>
    <w:rsid w:val="004E6D98"/>
    <w:rsid w:val="00517FE4"/>
    <w:rsid w:val="005264D9"/>
    <w:rsid w:val="005543A3"/>
    <w:rsid w:val="00556C4B"/>
    <w:rsid w:val="00570D6C"/>
    <w:rsid w:val="0059393B"/>
    <w:rsid w:val="00593B82"/>
    <w:rsid w:val="00595B7F"/>
    <w:rsid w:val="00597683"/>
    <w:rsid w:val="005A275D"/>
    <w:rsid w:val="005C3BD6"/>
    <w:rsid w:val="005C583A"/>
    <w:rsid w:val="005C6389"/>
    <w:rsid w:val="005D53D5"/>
    <w:rsid w:val="005D5911"/>
    <w:rsid w:val="005D7A9A"/>
    <w:rsid w:val="005F0A18"/>
    <w:rsid w:val="005F1031"/>
    <w:rsid w:val="0060005A"/>
    <w:rsid w:val="00604C44"/>
    <w:rsid w:val="00620014"/>
    <w:rsid w:val="006367FB"/>
    <w:rsid w:val="00647684"/>
    <w:rsid w:val="006558D2"/>
    <w:rsid w:val="00656FEA"/>
    <w:rsid w:val="006604CC"/>
    <w:rsid w:val="006608C7"/>
    <w:rsid w:val="00665831"/>
    <w:rsid w:val="0067695F"/>
    <w:rsid w:val="00680D7E"/>
    <w:rsid w:val="006A299C"/>
    <w:rsid w:val="00705FD0"/>
    <w:rsid w:val="007237DF"/>
    <w:rsid w:val="007306ED"/>
    <w:rsid w:val="00730C31"/>
    <w:rsid w:val="0074211D"/>
    <w:rsid w:val="00747323"/>
    <w:rsid w:val="00782B56"/>
    <w:rsid w:val="007846D0"/>
    <w:rsid w:val="00795D70"/>
    <w:rsid w:val="007A0D85"/>
    <w:rsid w:val="007C75EA"/>
    <w:rsid w:val="007C7A9F"/>
    <w:rsid w:val="00806FFF"/>
    <w:rsid w:val="008131F8"/>
    <w:rsid w:val="008304BA"/>
    <w:rsid w:val="00835810"/>
    <w:rsid w:val="00892CC7"/>
    <w:rsid w:val="008B3415"/>
    <w:rsid w:val="008C066C"/>
    <w:rsid w:val="008D7CF1"/>
    <w:rsid w:val="00903390"/>
    <w:rsid w:val="00925114"/>
    <w:rsid w:val="00941633"/>
    <w:rsid w:val="0096247C"/>
    <w:rsid w:val="00982AD0"/>
    <w:rsid w:val="00987F49"/>
    <w:rsid w:val="00995676"/>
    <w:rsid w:val="009D42A5"/>
    <w:rsid w:val="009E10E1"/>
    <w:rsid w:val="009E3291"/>
    <w:rsid w:val="009E3A92"/>
    <w:rsid w:val="00A14642"/>
    <w:rsid w:val="00A23FA1"/>
    <w:rsid w:val="00A3173B"/>
    <w:rsid w:val="00A36B93"/>
    <w:rsid w:val="00A424CC"/>
    <w:rsid w:val="00A563A4"/>
    <w:rsid w:val="00A64EAE"/>
    <w:rsid w:val="00A950A8"/>
    <w:rsid w:val="00A95B74"/>
    <w:rsid w:val="00A97C81"/>
    <w:rsid w:val="00AA259D"/>
    <w:rsid w:val="00AC6C03"/>
    <w:rsid w:val="00AC78ED"/>
    <w:rsid w:val="00AE7D28"/>
    <w:rsid w:val="00B001BA"/>
    <w:rsid w:val="00B16EB2"/>
    <w:rsid w:val="00B30719"/>
    <w:rsid w:val="00B61269"/>
    <w:rsid w:val="00B61F25"/>
    <w:rsid w:val="00B67E87"/>
    <w:rsid w:val="00BA04B6"/>
    <w:rsid w:val="00BA5DD2"/>
    <w:rsid w:val="00BC562C"/>
    <w:rsid w:val="00BD1012"/>
    <w:rsid w:val="00BD4EF5"/>
    <w:rsid w:val="00C11471"/>
    <w:rsid w:val="00C17424"/>
    <w:rsid w:val="00C17E0D"/>
    <w:rsid w:val="00C34BED"/>
    <w:rsid w:val="00C50B91"/>
    <w:rsid w:val="00C56EBD"/>
    <w:rsid w:val="00CA37BE"/>
    <w:rsid w:val="00CA5DB9"/>
    <w:rsid w:val="00CC5337"/>
    <w:rsid w:val="00CE0AC9"/>
    <w:rsid w:val="00D164C6"/>
    <w:rsid w:val="00D17996"/>
    <w:rsid w:val="00D20EF9"/>
    <w:rsid w:val="00D34713"/>
    <w:rsid w:val="00D67017"/>
    <w:rsid w:val="00D76BD1"/>
    <w:rsid w:val="00D76E0C"/>
    <w:rsid w:val="00D851F3"/>
    <w:rsid w:val="00DA5F5F"/>
    <w:rsid w:val="00DB3274"/>
    <w:rsid w:val="00DC3341"/>
    <w:rsid w:val="00DC7FCD"/>
    <w:rsid w:val="00DD12BF"/>
    <w:rsid w:val="00DD69A2"/>
    <w:rsid w:val="00DE158B"/>
    <w:rsid w:val="00DE18D5"/>
    <w:rsid w:val="00DE49E9"/>
    <w:rsid w:val="00E032E8"/>
    <w:rsid w:val="00E06981"/>
    <w:rsid w:val="00E27DCF"/>
    <w:rsid w:val="00E35C8A"/>
    <w:rsid w:val="00E80C4F"/>
    <w:rsid w:val="00E87081"/>
    <w:rsid w:val="00EA4C68"/>
    <w:rsid w:val="00EB63B2"/>
    <w:rsid w:val="00EC51CD"/>
    <w:rsid w:val="00ED3B53"/>
    <w:rsid w:val="00ED67F7"/>
    <w:rsid w:val="00EF0571"/>
    <w:rsid w:val="00EF0C1E"/>
    <w:rsid w:val="00EF5977"/>
    <w:rsid w:val="00F04CB1"/>
    <w:rsid w:val="00F154B6"/>
    <w:rsid w:val="00F2753F"/>
    <w:rsid w:val="00F30FB4"/>
    <w:rsid w:val="00F34DAC"/>
    <w:rsid w:val="00F470AA"/>
    <w:rsid w:val="00FA2BA4"/>
    <w:rsid w:val="00FA4461"/>
    <w:rsid w:val="00FA6C94"/>
    <w:rsid w:val="00FB5204"/>
    <w:rsid w:val="00FD799F"/>
    <w:rsid w:val="00FF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2E15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2E1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files/ed117-matter-14-councils-response-inspectors-queries-re-reatil-issu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Daly</dc:creator>
  <cp:lastModifiedBy>Tina Lilley</cp:lastModifiedBy>
  <cp:revision>2</cp:revision>
  <dcterms:created xsi:type="dcterms:W3CDTF">2018-03-15T10:32:00Z</dcterms:created>
  <dcterms:modified xsi:type="dcterms:W3CDTF">2018-03-15T10:32:00Z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-1782829707</vt:i4>
  </property>
</Properties>
</file>